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pPr>
      <w:r>
        <w:rPr/>
        <w:drawing>
          <wp:anchor behindDoc="0" distT="152400" distB="152400" distL="152400" distR="152400" simplePos="0" locked="0" layoutInCell="0" allowOverlap="1" relativeHeight="4">
            <wp:simplePos x="0" y="0"/>
            <wp:positionH relativeFrom="page">
              <wp:posOffset>31750</wp:posOffset>
            </wp:positionH>
            <wp:positionV relativeFrom="page">
              <wp:posOffset>-6985</wp:posOffset>
            </wp:positionV>
            <wp:extent cx="7556500" cy="1115060"/>
            <wp:effectExtent l="0" t="0" r="0" b="0"/>
            <wp:wrapTopAndBottom/>
            <wp:docPr id="1" name="Imagem 1706121704"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706121704"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p>
    <w:p>
      <w:pPr>
        <w:pStyle w:val="LOnormal"/>
        <w:spacing w:lineRule="auto" w:line="276"/>
        <w:ind w:right="-2" w:hanging="0"/>
        <w:jc w:val="center"/>
        <w:rPr>
          <w:rFonts w:ascii="Arial" w:hAnsi="Arial" w:eastAsia="Arial" w:cs="Arial"/>
          <w:color w:val="000000"/>
          <w:sz w:val="28"/>
          <w:szCs w:val="28"/>
          <w:u w:val="none" w:color="000000"/>
          <w:lang w:val="pt-BR"/>
        </w:rPr>
      </w:pPr>
      <w:r>
        <w:rPr>
          <w:rFonts w:ascii="Arial" w:hAnsi="Arial"/>
          <w:b/>
          <w:bCs/>
          <w:color w:val="000000"/>
          <w:sz w:val="28"/>
          <w:szCs w:val="28"/>
          <w:u w:val="none" w:color="000000"/>
          <w:lang w:val="pt-BR"/>
        </w:rPr>
        <w:t>EFEITOS DE ALTURAS DE RESÍDUO NOS COMPONENTES DE PASTAGEM DE ESTIVAL EM SUCESSÃO ÀS PASTAGENS HIBERNAIS</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Web"/>
        <w:spacing w:beforeAutospacing="0" w:before="0" w:afterAutospacing="0" w:after="0"/>
        <w:ind w:right="284" w:hanging="0"/>
        <w:jc w:val="center"/>
        <w:rPr/>
      </w:pPr>
      <w:r>
        <w:rPr>
          <w:rFonts w:cs="Arial" w:ascii="Arial" w:hAnsi="Arial"/>
          <w:color w:val="000000"/>
          <w:sz w:val="20"/>
          <w:szCs w:val="20"/>
        </w:rPr>
        <w:t>João Pedro Mees</w:t>
      </w:r>
      <w:r>
        <w:rPr>
          <w:rFonts w:cs="Arial" w:ascii="Arial" w:hAnsi="Arial"/>
          <w:color w:val="000000"/>
          <w:sz w:val="20"/>
          <w:szCs w:val="20"/>
          <w:vertAlign w:val="superscript"/>
        </w:rPr>
        <w:t>1</w:t>
      </w:r>
      <w:r>
        <w:rPr>
          <w:rFonts w:cs="Arial" w:ascii="Arial" w:hAnsi="Arial"/>
          <w:color w:val="000000"/>
          <w:sz w:val="20"/>
          <w:szCs w:val="20"/>
        </w:rPr>
        <w:t>, Fábio Cervo Garagorry</w:t>
      </w:r>
      <w:r>
        <w:rPr>
          <w:rFonts w:cs="Arial" w:ascii="Arial" w:hAnsi="Arial"/>
          <w:color w:val="000000"/>
          <w:sz w:val="20"/>
          <w:szCs w:val="20"/>
          <w:vertAlign w:val="superscript"/>
        </w:rPr>
        <w:t>2</w:t>
      </w:r>
      <w:r>
        <w:rPr>
          <w:rFonts w:cs="Arial" w:ascii="Arial" w:hAnsi="Arial"/>
          <w:color w:val="000000"/>
          <w:sz w:val="20"/>
          <w:szCs w:val="20"/>
        </w:rPr>
        <w:t xml:space="preserve">, </w:t>
      </w:r>
      <w:r>
        <w:rPr>
          <w:rFonts w:cs="Arial" w:ascii="Arial" w:hAnsi="Arial"/>
          <w:color w:val="000000"/>
          <w:sz w:val="20"/>
          <w:szCs w:val="20"/>
          <w:u w:val="single"/>
        </w:rPr>
        <w:t>Tiago Celso Baldissera</w:t>
      </w:r>
      <w:r>
        <w:rPr>
          <w:rFonts w:cs="Arial" w:ascii="Arial" w:hAnsi="Arial"/>
          <w:color w:val="000000"/>
          <w:sz w:val="20"/>
          <w:szCs w:val="20"/>
          <w:u w:val="single"/>
          <w:vertAlign w:val="superscript"/>
        </w:rPr>
        <w:t>3</w:t>
      </w:r>
      <w:r>
        <w:rPr>
          <w:rFonts w:cs="Arial" w:ascii="Arial" w:hAnsi="Arial"/>
          <w:color w:val="000000"/>
          <w:sz w:val="20"/>
          <w:szCs w:val="20"/>
        </w:rPr>
        <w:t>, Cassiano Eduardo Pinto</w:t>
      </w:r>
      <w:r>
        <w:rPr>
          <w:rFonts w:cs="Arial" w:ascii="Arial" w:hAnsi="Arial"/>
          <w:color w:val="000000"/>
          <w:sz w:val="20"/>
          <w:szCs w:val="20"/>
          <w:vertAlign w:val="superscript"/>
        </w:rPr>
        <w:t>3</w:t>
      </w:r>
    </w:p>
    <w:p>
      <w:pPr>
        <w:pStyle w:val="LOnormal"/>
        <w:ind w:right="284" w:hanging="0"/>
        <w:jc w:val="center"/>
        <w:rPr>
          <w:rFonts w:ascii="Arial" w:hAnsi="Arial" w:eastAsia="Arial" w:cs="Arial"/>
          <w:color w:val="000000"/>
          <w:sz w:val="20"/>
          <w:szCs w:val="20"/>
          <w:u w:val="none" w:color="000000"/>
          <w:lang w:val="pt-BR"/>
        </w:rPr>
      </w:pPr>
      <w:r>
        <w:rPr>
          <w:lang w:val="pt-BR"/>
        </w:rPr>
        <w:br/>
      </w:r>
      <w:r>
        <w:rPr>
          <w:rFonts w:cs="Arial" w:ascii="Arial" w:hAnsi="Arial"/>
          <w:color w:val="000000"/>
          <w:sz w:val="20"/>
          <w:szCs w:val="20"/>
          <w:vertAlign w:val="superscript"/>
          <w:lang w:val="pt-BR"/>
        </w:rPr>
        <w:t>1</w:t>
      </w:r>
      <w:r>
        <w:rPr>
          <w:rFonts w:cs="Arial" w:ascii="Arial" w:hAnsi="Arial"/>
          <w:color w:val="000000"/>
          <w:sz w:val="20"/>
          <w:szCs w:val="20"/>
          <w:lang w:val="pt-BR"/>
        </w:rPr>
        <w:t xml:space="preserve">UDESC CAV Lages, </w:t>
      </w:r>
      <w:r>
        <w:rPr>
          <w:rFonts w:cs="Arial" w:ascii="Arial" w:hAnsi="Arial"/>
          <w:color w:val="000000"/>
          <w:sz w:val="20"/>
          <w:szCs w:val="20"/>
          <w:vertAlign w:val="superscript"/>
          <w:lang w:val="pt-BR"/>
        </w:rPr>
        <w:t>2</w:t>
      </w:r>
      <w:r>
        <w:rPr>
          <w:rFonts w:cs="Arial" w:ascii="Arial" w:hAnsi="Arial"/>
          <w:color w:val="000000"/>
          <w:sz w:val="20"/>
          <w:szCs w:val="20"/>
          <w:lang w:val="pt-BR"/>
        </w:rPr>
        <w:t xml:space="preserve">Embrapa Pecuária Sul, </w:t>
      </w:r>
      <w:r>
        <w:rPr>
          <w:rFonts w:cs="Arial" w:ascii="Arial" w:hAnsi="Arial"/>
          <w:color w:val="000000"/>
          <w:sz w:val="20"/>
          <w:szCs w:val="20"/>
          <w:vertAlign w:val="superscript"/>
          <w:lang w:val="pt-BR"/>
        </w:rPr>
        <w:t>3</w:t>
      </w:r>
      <w:r>
        <w:rPr>
          <w:rFonts w:cs="Arial" w:ascii="Arial" w:hAnsi="Arial"/>
          <w:color w:val="000000"/>
          <w:sz w:val="20"/>
          <w:szCs w:val="20"/>
          <w:lang w:val="pt-BR"/>
        </w:rPr>
        <w:t>Epagri/Estação Experimental de Lages. E-mail: tiagobaldissera@epagri.sc.gov.br</w:t>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Contribuição para a sociedade</w:t>
      </w:r>
      <w:r>
        <w:rPr>
          <w:rFonts w:ascii="Arial" w:hAnsi="Arial"/>
          <w:color w:val="000000"/>
          <w:sz w:val="22"/>
          <w:szCs w:val="22"/>
          <w:u w:val="none" w:color="000000"/>
          <w:lang w:val="pt-BR"/>
        </w:rPr>
        <w:t xml:space="preserve">: </w:t>
      </w:r>
      <w:r>
        <w:rPr>
          <w:rFonts w:cs="Arial" w:ascii="Arial" w:hAnsi="Arial"/>
          <w:color w:val="000000"/>
          <w:sz w:val="22"/>
          <w:szCs w:val="22"/>
          <w:lang w:val="pt-BR"/>
        </w:rPr>
        <w:t>A estacionalidade na produção forrageira é um grande desafio na produção pecuária a base de pasto, principalmente no Sul do Brasil. Os vazios forrageiros são caracterizados pela pequena ou nula produção de forragem, com baixa qualidade, nas épocas de transição entre as estações quentes e frias, tendo impacto direto na produção de leite e onerando os custos ao produtor pela necessidade de maior suplementação. Assim, estabilizar a oferta de forragem ao longo do ano, ou seja, ter pasto nos 365 dias do ano representa oportunidades para a pesquisa e difusão de conhecimento para a sociedade. No presente estudo pretende-se apresentar avanços no manejo de pastagens com a proposição de reduzir a sazonalidade, insuficiência e instabilidade forrageira através do posicionamento quanto ao uso estratégico de cultivares de diferentes ciclos de produção e diferentes manejos da pastagem de verão em sucessão a pastagens hibernais.</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sobressemeadura, sazonalidade, pasto 365 dias, vazio forrageiro.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eastAsia="Arial" w:cs="Arial"/>
          <w:color w:val="000000"/>
          <w:sz w:val="22"/>
          <w:szCs w:val="22"/>
          <w:u w:val="none" w:color="000000"/>
          <w:lang w:val="pt-BR"/>
        </w:rPr>
      </w:pPr>
      <w:r>
        <w:rPr>
          <w:rFonts w:ascii="Arial" w:hAnsi="Arial"/>
          <w:b/>
          <w:bCs/>
          <w:color w:val="000000"/>
          <w:sz w:val="22"/>
          <w:szCs w:val="22"/>
          <w:u w:val="none" w:color="000000"/>
          <w:lang w:val="pt-BR"/>
        </w:rPr>
        <w:t>Introdução:</w:t>
      </w:r>
      <w:r>
        <w:rPr>
          <w:rFonts w:cs="Arial" w:ascii="Arial" w:hAnsi="Arial"/>
          <w:color w:val="000000"/>
          <w:sz w:val="22"/>
          <w:szCs w:val="22"/>
          <w:lang w:val="pt-BR"/>
        </w:rPr>
        <w:t xml:space="preserve"> A estacionalidade forrageira é um problema observado em maior ou menor grau em todo o país, sendo fortemente acentuada no sul, devido à sazonalidade climática no que se refere principalmente à luz e à temperatura. Os vazios forrageiros dizem respeito a períodos em que existem dificuldades de se prover aos animais suprimentos de forragem em quantidade e de boa qualidade, capaz de atender seus requisitos nutricionais de forma econômica (KUHN, et al., 2020). Apesar da variabilidade de fatores fundamentais ao crescimento das plantas como a água no período estival e a variabilidade das temperaturas ao longo do ano, é possível ter melhor distribuição de forragem pela possibilidade de consorciar forrageiras hibernais e estivais na pastagem. O avanço de estudos sobre os ciclos, manejos e o posicionamento de diferentes cultivares (hibernais e estivais) oportuniza o aumento da produção animal a pasto pela redução do período de entressafras das pastagens. Essa melhoria com sistemas biodiversos é possível pela introdução de leguminosas e gramíneas de diferentes espécies e gêneros em consórcios, delineando os cultivares em sucessão, onde fecha-se o ciclo produtivo de uma espécie e inicia o de outra, formando uma sobreposição das curvas de crescimento das plantas (SBRISSIA et al., 2015). Frente ao exposto, o objetivo deste trabalho foi avaliar a produtividade e os componentes da pastagem de sorgo forrageiro (</w:t>
      </w:r>
      <w:r>
        <w:rPr>
          <w:rFonts w:cs="Arial" w:ascii="Arial" w:hAnsi="Arial"/>
          <w:i/>
          <w:iCs/>
          <w:color w:val="000000"/>
          <w:sz w:val="22"/>
          <w:szCs w:val="22"/>
          <w:lang w:val="pt-BR"/>
        </w:rPr>
        <w:t>Sorghum bicolor x S. sudanense</w:t>
      </w:r>
      <w:r>
        <w:rPr>
          <w:rFonts w:cs="Arial" w:ascii="Arial" w:hAnsi="Arial"/>
          <w:color w:val="000000"/>
          <w:sz w:val="22"/>
          <w:szCs w:val="22"/>
          <w:lang w:val="pt-BR"/>
        </w:rPr>
        <w:t>) em duas alturas de rebaixamento, implantado em sucessão a diferentes cultivares de azevém-anual com ciclos de produção distintos (</w:t>
      </w:r>
      <w:r>
        <w:rPr>
          <w:rFonts w:cs="Arial" w:ascii="Arial" w:hAnsi="Arial"/>
          <w:i/>
          <w:iCs/>
          <w:color w:val="000000"/>
          <w:sz w:val="22"/>
          <w:szCs w:val="22"/>
          <w:lang w:val="pt-BR"/>
        </w:rPr>
        <w:t>Lolium multiflorum</w:t>
      </w:r>
      <w:r>
        <w:rPr>
          <w:rFonts w:cs="Arial" w:ascii="Arial" w:hAnsi="Arial"/>
          <w:color w:val="000000"/>
          <w:sz w:val="22"/>
          <w:szCs w:val="22"/>
          <w:lang w:val="pt-BR"/>
        </w:rPr>
        <w:t>) em consórcio com trevo-branco (</w:t>
      </w:r>
      <w:r>
        <w:rPr>
          <w:rFonts w:cs="Arial" w:ascii="Arial" w:hAnsi="Arial"/>
          <w:i/>
          <w:iCs/>
          <w:color w:val="000000"/>
          <w:sz w:val="22"/>
          <w:szCs w:val="22"/>
          <w:lang w:val="pt-BR"/>
        </w:rPr>
        <w:t xml:space="preserve">Trifolium repens </w:t>
      </w:r>
      <w:r>
        <w:rPr>
          <w:rFonts w:cs="Arial" w:ascii="Arial" w:hAnsi="Arial"/>
          <w:color w:val="000000"/>
          <w:sz w:val="22"/>
          <w:szCs w:val="22"/>
          <w:lang w:val="pt-BR"/>
        </w:rPr>
        <w:t>cv. BRS Entrevero) e cornichão (</w:t>
      </w:r>
      <w:r>
        <w:rPr>
          <w:rFonts w:cs="Arial" w:ascii="Arial" w:hAnsi="Arial"/>
          <w:i/>
          <w:iCs/>
          <w:color w:val="000000"/>
          <w:sz w:val="22"/>
          <w:szCs w:val="22"/>
          <w:lang w:val="pt-BR"/>
        </w:rPr>
        <w:t>Lotus corniculatus</w:t>
      </w:r>
      <w:r>
        <w:rPr>
          <w:rFonts w:cs="Arial" w:ascii="Arial" w:hAnsi="Arial"/>
          <w:color w:val="000000"/>
          <w:sz w:val="22"/>
          <w:szCs w:val="22"/>
          <w:lang w:val="pt-BR"/>
        </w:rPr>
        <w:t xml:space="preserve"> cv. URS BRS Posteiro).</w:t>
      </w:r>
      <w:r>
        <w:rPr>
          <w:rFonts w:ascii="Arial" w:hAnsi="Arial"/>
          <w:b/>
          <w:bCs/>
          <w:color w:val="000000"/>
          <w:sz w:val="22"/>
          <w:szCs w:val="22"/>
          <w:u w:val="none" w:color="000000"/>
          <w:lang w:val="pt-BR"/>
        </w:rPr>
        <w:t xml:space="preserve">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bookmarkStart w:id="0" w:name="_headingh.30j0zll"/>
      <w:bookmarkEnd w:id="0"/>
      <w:r>
        <w:rPr>
          <w:rFonts w:ascii="Arial" w:hAnsi="Arial"/>
          <w:b/>
          <w:bCs/>
          <w:color w:val="000000"/>
          <w:sz w:val="22"/>
          <w:szCs w:val="22"/>
          <w:u w:val="none" w:color="000000"/>
          <w:lang w:val="pt-BR"/>
        </w:rPr>
        <w:t>Material e métodos:</w:t>
      </w:r>
      <w:r>
        <w:rPr>
          <w:rFonts w:ascii="Arial" w:hAnsi="Arial"/>
          <w:color w:val="000000"/>
          <w:sz w:val="22"/>
          <w:szCs w:val="22"/>
          <w:u w:val="none" w:color="000000"/>
          <w:lang w:val="pt-BR"/>
        </w:rPr>
        <w:t xml:space="preserve"> </w:t>
      </w:r>
      <w:r>
        <w:rPr>
          <w:rFonts w:cs="Arial" w:ascii="Arial" w:hAnsi="Arial"/>
          <w:color w:val="000000"/>
          <w:sz w:val="22"/>
          <w:szCs w:val="22"/>
          <w:lang w:val="pt-BR"/>
        </w:rPr>
        <w:t>O experimento foi realizado na Epagri/Estação Experimental de Lages, em Lages-SC, entre 10/11/2022 a 18/04/2023. O delineamento experimental foi de blocos casualizados em esquema fatorial 4x2 com quatro repetições, compostos pelos resíduos de azevéns-anuais de diferentes ciclos de produção: BRS Integração (precoce), SCS 317 Centenário (intermediária), BRS Ponteio (tardio) e SCS 316 CR Altovale (tardio) todos em consórcio com trevo-branco e cornichão e duas alturas de manejo residuais para a espécie de verão em sucessão. Após o ciclo de cada cultivar de inverno, as parcelas foram rebaixadas a 5cm de altura para a posterior introdução do sorgo forrageiro, que foi semeado nas 16 parcelas experimentais com área de 8m</w:t>
      </w:r>
      <w:r>
        <w:rPr>
          <w:rFonts w:cs="Arial" w:ascii="Arial" w:hAnsi="Arial"/>
          <w:color w:val="000000"/>
          <w:sz w:val="22"/>
          <w:szCs w:val="22"/>
          <w:vertAlign w:val="superscript"/>
          <w:lang w:val="pt-BR"/>
        </w:rPr>
        <w:t>2</w:t>
      </w:r>
      <w:r>
        <w:rPr>
          <w:rFonts w:cs="Arial" w:ascii="Arial" w:hAnsi="Arial"/>
          <w:color w:val="000000"/>
          <w:sz w:val="22"/>
          <w:szCs w:val="22"/>
          <w:lang w:val="pt-BR"/>
        </w:rPr>
        <w:t xml:space="preserve"> (azevém-anual), subdivididas em subparcelas de 4m</w:t>
      </w:r>
      <w:r>
        <w:rPr>
          <w:rFonts w:cs="Arial" w:ascii="Arial" w:hAnsi="Arial"/>
          <w:color w:val="000000"/>
          <w:sz w:val="22"/>
          <w:szCs w:val="22"/>
          <w:vertAlign w:val="superscript"/>
          <w:lang w:val="pt-BR"/>
        </w:rPr>
        <w:t>2</w:t>
      </w:r>
      <w:r>
        <w:rPr>
          <w:rFonts w:cs="Arial" w:ascii="Arial" w:hAnsi="Arial"/>
          <w:color w:val="000000"/>
          <w:sz w:val="22"/>
          <w:szCs w:val="22"/>
          <w:lang w:val="pt-BR"/>
        </w:rPr>
        <w:t xml:space="preserve"> (resíduos). O manejo do sorgo forrageiro foi por média da altura da pastagem, sempre que atingia 50cm realizava-se o rebaixamento a 20cm ou a 30cm de resíduo. Os parâmetros avaliados foram a altura média, número de cortes e dias entre cortes e as produções totais de forragem, folhas, colmo, material senescente, leguminosas, outras espécies e a relação folha/colmo. Para os parâmetros de produção, foram realizados cortes em toda a área experimental e todo o material foi pesado quanto a sua matéria verde e corrido posteriormente para matéria seca. Para determinação da matéria seca e os componentes da pastagem foram coletadas uma amostra com área de 0,25m</w:t>
      </w:r>
      <w:r>
        <w:rPr>
          <w:rFonts w:cs="Arial" w:ascii="Arial" w:hAnsi="Arial"/>
          <w:color w:val="000000"/>
          <w:sz w:val="22"/>
          <w:szCs w:val="22"/>
          <w:vertAlign w:val="superscript"/>
          <w:lang w:val="pt-BR"/>
        </w:rPr>
        <w:t>2</w:t>
      </w:r>
      <w:r>
        <w:rPr>
          <w:rFonts w:cs="Arial" w:ascii="Arial" w:hAnsi="Arial"/>
          <w:color w:val="000000"/>
          <w:sz w:val="22"/>
          <w:szCs w:val="22"/>
          <w:lang w:val="pt-BR"/>
        </w:rPr>
        <w:t xml:space="preserve"> por subparcela, sendo levada a estufa de ar forçado a 55° até atingir peso constante. Os dados foram submetidos aos testes de homogeneidade e normalidade dos resíduos e análise da variância. As médias foram comparadas pelo teste Tukey ao nível de significância 5% com o auxílio do software R.</w:t>
      </w:r>
      <w:r>
        <w:drawing>
          <wp:anchor behindDoc="0" distT="152400" distB="152400" distL="152400" distR="152400" simplePos="0" locked="0" layoutInCell="0" allowOverlap="1" relativeHeight="2">
            <wp:simplePos x="0" y="0"/>
            <wp:positionH relativeFrom="page">
              <wp:posOffset>0</wp:posOffset>
            </wp:positionH>
            <wp:positionV relativeFrom="page">
              <wp:posOffset>0</wp:posOffset>
            </wp:positionV>
            <wp:extent cx="7556500" cy="1115060"/>
            <wp:effectExtent l="0" t="0" r="0" b="0"/>
            <wp:wrapTopAndBottom/>
            <wp:docPr id="2"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ficeArt object" descr="Cabeçalho SBSS-02.jpg"/>
                    <pic:cNvPicPr>
                      <a:picLocks noChangeAspect="1" noChangeArrowheads="1"/>
                    </pic:cNvPicPr>
                  </pic:nvPicPr>
                  <pic:blipFill>
                    <a:blip r:embed="rId3"/>
                    <a:stretch>
                      <a:fillRect/>
                    </a:stretch>
                  </pic:blipFill>
                  <pic:spPr bwMode="auto">
                    <a:xfrm>
                      <a:off x="0" y="0"/>
                      <a:ext cx="7556500" cy="1115060"/>
                    </a:xfrm>
                    <a:prstGeom prst="rect">
                      <a:avLst/>
                    </a:prstGeom>
                  </pic:spPr>
                </pic:pic>
              </a:graphicData>
            </a:graphic>
          </wp:anchor>
        </w:drawing>
      </w:r>
      <w:r>
        <w:rPr>
          <w:rFonts w:ascii="Arial" w:hAnsi="Arial"/>
          <w:color w:val="000000"/>
          <w:sz w:val="22"/>
          <w:szCs w:val="22"/>
          <w:u w:val="none" w:color="000000"/>
          <w:lang w:val="pt-BR"/>
        </w:rPr>
        <w:t xml:space="preserve">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Resultados e discussões:</w:t>
      </w:r>
      <w:r>
        <w:rPr>
          <w:rFonts w:ascii="Arial" w:hAnsi="Arial"/>
          <w:color w:val="000000"/>
          <w:sz w:val="22"/>
          <w:szCs w:val="22"/>
          <w:u w:val="none" w:color="000000"/>
          <w:lang w:val="pt-BR"/>
        </w:rPr>
        <w:t xml:space="preserve"> </w:t>
      </w:r>
      <w:r>
        <w:rPr>
          <w:rFonts w:cs="Arial" w:ascii="Arial" w:hAnsi="Arial"/>
          <w:color w:val="000000"/>
          <w:sz w:val="22"/>
          <w:szCs w:val="22"/>
          <w:lang w:val="pt-BR"/>
        </w:rPr>
        <w:t>Na tabela 1 são apresentados o número de cortes de produção número de dias de rebrota entre cortes. Observa-se que não há diferença significativa para esta variável quanto aos tratamentos aplicados. Entretanto, após o período de estabelecimento da pastagem de sorgo, em 97 dias de produção, o manejo na subparcela com resíduo de 30cm proporcionou um maior número de cortes com média de 10 dias entre cortes. Esse manejo moderado a leve, caracterizado por uma baixa intensidade e alta frequência de retorno a pastagem é considerado como uma inovação no manejo por promover a otimização da produção animal e vegetal (SCHONS et al., 2021).  As alturas residuais de manejo para o sorgo não tiveram influência sobre a produção de forragem. Importante destacar que a produção total média de 14.252 kg de MS.ha</w:t>
      </w:r>
      <w:r>
        <w:rPr>
          <w:rFonts w:cs="Arial" w:ascii="Arial" w:hAnsi="Arial"/>
          <w:color w:val="000000"/>
          <w:sz w:val="13"/>
          <w:szCs w:val="13"/>
          <w:vertAlign w:val="superscript"/>
          <w:lang w:val="pt-BR"/>
        </w:rPr>
        <w:t>-1</w:t>
      </w:r>
      <w:r>
        <w:rPr>
          <w:rFonts w:cs="Arial" w:ascii="Arial" w:hAnsi="Arial"/>
          <w:color w:val="000000"/>
          <w:sz w:val="22"/>
          <w:szCs w:val="22"/>
          <w:lang w:val="pt-BR"/>
        </w:rPr>
        <w:t xml:space="preserve"> é alta para o tipo de clima (Cfb) onde o trabalho foi executado. Esses dados são superiores ao trabalho de Portugal et al., (2020), os autores trabalharam com alturas de pré e pós pastejo semelhantes a este trabalho e concluíram que manejos lenientes proporcionam maior produção e colheita de forragem pelos animais. A produção de leguminosas foi superior no tratamento de azevém-anual de ciclo curto (Integração) a moderado não diferindo para os  cultivares SCS316 CR Altovale e SCS317 Centenário. Os cultivares de ciclo curto encerram o ciclo por meados da estação primaveril, coincidindo com a época de maior produção e início do florescimento das leguminosa</w:t>
      </w:r>
      <w:bookmarkStart w:id="1" w:name="_Hlk147244066"/>
      <w:bookmarkEnd w:id="1"/>
      <w:r>
        <w:rPr>
          <w:rFonts w:cs="Arial" w:ascii="Arial" w:hAnsi="Arial"/>
          <w:color w:val="000000"/>
          <w:sz w:val="22"/>
          <w:szCs w:val="22"/>
          <w:lang w:val="pt-BR"/>
        </w:rPr>
        <w:t xml:space="preserve">s. </w:t>
      </w:r>
    </w:p>
    <w:p>
      <w:pPr>
        <w:pStyle w:val="LOnormal"/>
        <w:spacing w:lineRule="auto" w:line="276" w:before="240" w:after="120"/>
        <w:ind w:left="20" w:hanging="0"/>
        <w:jc w:val="both"/>
        <w:rPr>
          <w:rFonts w:ascii="Arial" w:hAnsi="Arial" w:eastAsia="Arial" w:cs="Arial"/>
          <w:b/>
          <w:b/>
          <w:bCs/>
          <w:color w:val="000000"/>
          <w:sz w:val="20"/>
          <w:szCs w:val="20"/>
          <w:u w:val="none" w:color="000000"/>
          <w:lang w:val="pt-BR"/>
        </w:rPr>
      </w:pPr>
      <w:bookmarkStart w:id="2" w:name="_Hlk147244098"/>
      <w:r>
        <w:rPr>
          <w:rFonts w:ascii="Arial" w:hAnsi="Arial"/>
          <w:b/>
          <w:bCs/>
          <w:color w:val="000000"/>
          <w:sz w:val="20"/>
          <w:szCs w:val="20"/>
          <w:u w:val="none" w:color="000000"/>
          <w:lang w:val="pt-BR"/>
        </w:rPr>
        <w:t>Tabela 1. Número de cortes, dias entre cortes e produção de forragem por hectare de sorgo (</w:t>
      </w:r>
      <w:r>
        <w:rPr>
          <w:rFonts w:ascii="Arial" w:hAnsi="Arial"/>
          <w:b/>
          <w:bCs/>
          <w:i/>
          <w:iCs/>
          <w:color w:val="000000"/>
          <w:sz w:val="20"/>
          <w:szCs w:val="20"/>
          <w:u w:val="none" w:color="000000"/>
          <w:lang w:val="pt-BR"/>
        </w:rPr>
        <w:t>Sorghum bicolor x S. sudanense</w:t>
      </w:r>
      <w:r>
        <w:rPr>
          <w:rFonts w:ascii="Arial" w:hAnsi="Arial"/>
          <w:b/>
          <w:bCs/>
          <w:color w:val="000000"/>
          <w:sz w:val="20"/>
          <w:szCs w:val="20"/>
          <w:u w:val="none" w:color="000000"/>
          <w:lang w:val="pt-BR"/>
        </w:rPr>
        <w:t>) em sucessão a diferentes cultivares de azevém-anual (</w:t>
      </w:r>
      <w:r>
        <w:rPr>
          <w:rFonts w:ascii="Arial" w:hAnsi="Arial"/>
          <w:b/>
          <w:bCs/>
          <w:i/>
          <w:iCs/>
          <w:color w:val="000000"/>
          <w:sz w:val="20"/>
          <w:szCs w:val="20"/>
          <w:u w:val="none" w:color="000000"/>
          <w:lang w:val="pt-BR"/>
        </w:rPr>
        <w:t>Lolium multiflorum</w:t>
      </w:r>
      <w:r>
        <w:rPr>
          <w:rFonts w:ascii="Arial" w:hAnsi="Arial"/>
          <w:b/>
          <w:bCs/>
          <w:color w:val="000000"/>
          <w:sz w:val="20"/>
          <w:szCs w:val="20"/>
          <w:u w:val="none" w:color="000000"/>
          <w:lang w:val="pt-BR"/>
        </w:rPr>
        <w:t>)</w:t>
      </w:r>
    </w:p>
    <w:tbl>
      <w:tblPr>
        <w:tblStyle w:val="TableNormal"/>
        <w:tblW w:w="5000" w:type="pct"/>
        <w:jc w:val="left"/>
        <w:tblInd w:w="0" w:type="dxa"/>
        <w:tblLayout w:type="fixed"/>
        <w:tblCellMar>
          <w:top w:w="80" w:type="dxa"/>
          <w:left w:w="240" w:type="dxa"/>
          <w:bottom w:w="80" w:type="dxa"/>
          <w:right w:w="80" w:type="dxa"/>
        </w:tblCellMar>
        <w:tblLook w:firstRow="1" w:noVBand="1" w:lastRow="0" w:firstColumn="1" w:lastColumn="0" w:noHBand="0" w:val="04a0"/>
      </w:tblPr>
      <w:tblGrid>
        <w:gridCol w:w="2251"/>
        <w:gridCol w:w="1776"/>
        <w:gridCol w:w="1833"/>
        <w:gridCol w:w="1573"/>
        <w:gridCol w:w="1637"/>
      </w:tblGrid>
      <w:tr>
        <w:trPr>
          <w:trHeight w:val="696" w:hRule="atLeast"/>
        </w:trPr>
        <w:tc>
          <w:tcPr>
            <w:tcW w:w="2251" w:type="dxa"/>
            <w:tcBorders>
              <w:top w:val="single" w:sz="4" w:space="0" w:color="000000"/>
              <w:bottom w:val="single" w:sz="4" w:space="0" w:color="000000"/>
            </w:tcBorders>
            <w:shd w:color="auto" w:fill="auto" w:val="clear"/>
            <w:vAlign w:val="cente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Tratamento</w:t>
            </w:r>
          </w:p>
        </w:tc>
        <w:tc>
          <w:tcPr>
            <w:tcW w:w="3609" w:type="dxa"/>
            <w:gridSpan w:val="2"/>
            <w:tcBorders>
              <w:top w:val="single" w:sz="4" w:space="0" w:color="000000"/>
              <w:bottom w:val="single" w:sz="4" w:space="0" w:color="000000"/>
            </w:tcBorders>
            <w:shd w:color="auto" w:fill="auto" w:val="clear"/>
            <w:vAlign w:val="center"/>
          </w:tcPr>
          <w:p>
            <w:pPr>
              <w:pStyle w:val="LOnormal"/>
              <w:widowControl w:val="false"/>
              <w:suppressAutoHyphens w:val="true"/>
              <w:spacing w:before="0" w:after="0"/>
              <w:ind w:left="80" w:hanging="0"/>
              <w:jc w:val="center"/>
              <w:rPr>
                <w:rFonts w:ascii="Arial" w:hAnsi="Arial"/>
                <w:sz w:val="20"/>
                <w:szCs w:val="20"/>
                <w:lang w:val="pt-BR"/>
              </w:rPr>
            </w:pPr>
            <w:r>
              <w:rPr>
                <w:rFonts w:eastAsia="Arial Unicode MS" w:ascii="Arial" w:hAnsi="Arial"/>
                <w:kern w:val="0"/>
                <w:sz w:val="20"/>
                <w:szCs w:val="20"/>
                <w:lang w:val="pt-BR" w:eastAsia="pt-BR" w:bidi="ar-SA"/>
              </w:rPr>
              <w:t>Número de cortes e dias entre cortes</w:t>
            </w:r>
          </w:p>
          <w:p>
            <w:pPr>
              <w:pStyle w:val="LOnormal"/>
              <w:widowControl w:val="false"/>
              <w:suppressAutoHyphens w:val="true"/>
              <w:spacing w:before="0" w:after="0"/>
              <w:ind w:left="80" w:hanging="0"/>
              <w:jc w:val="left"/>
              <w:rPr>
                <w:rFonts w:ascii="Arial" w:hAnsi="Arial"/>
                <w:sz w:val="20"/>
                <w:szCs w:val="20"/>
                <w:lang w:val="pt-BR"/>
              </w:rPr>
            </w:pPr>
            <w:r>
              <w:rPr>
                <w:rFonts w:eastAsia="Arial Unicode MS" w:ascii="Arial" w:hAnsi="Arial"/>
                <w:kern w:val="0"/>
                <w:sz w:val="20"/>
                <w:szCs w:val="20"/>
                <w:lang w:val="pt-BR" w:eastAsia="pt-BR" w:bidi="ar-SA"/>
              </w:rPr>
              <w:t xml:space="preserve"> </w:t>
            </w:r>
            <w:r>
              <w:rPr>
                <w:rFonts w:eastAsia="Arial Unicode MS" w:ascii="Arial" w:hAnsi="Arial"/>
                <w:kern w:val="0"/>
                <w:sz w:val="20"/>
                <w:szCs w:val="20"/>
                <w:lang w:val="pt-BR" w:eastAsia="pt-BR" w:bidi="ar-SA"/>
              </w:rPr>
              <w:t>20 cm                           30cm</w:t>
            </w:r>
          </w:p>
        </w:tc>
        <w:tc>
          <w:tcPr>
            <w:tcW w:w="1573" w:type="dxa"/>
            <w:tcBorders>
              <w:top w:val="single" w:sz="4" w:space="0" w:color="000000"/>
              <w:bottom w:val="single" w:sz="4" w:space="0" w:color="000000"/>
            </w:tcBorders>
            <w:shd w:color="auto" w:fill="FFFFFF" w:val="clear"/>
            <w:tcMar>
              <w:top w:w="0" w:type="dxa"/>
              <w:left w:w="0" w:type="dxa"/>
              <w:bottom w:w="0" w:type="dxa"/>
              <w:right w:w="0" w:type="dxa"/>
            </w:tcMar>
          </w:tcPr>
          <w:p>
            <w:pPr>
              <w:pStyle w:val="LOnormal"/>
              <w:widowControl w:val="false"/>
              <w:suppressAutoHyphens w:val="true"/>
              <w:spacing w:before="0" w:after="0"/>
              <w:ind w:left="80" w:hanging="0"/>
              <w:jc w:val="center"/>
              <w:rPr>
                <w:rFonts w:ascii="Arial" w:hAnsi="Arial"/>
                <w:sz w:val="20"/>
                <w:szCs w:val="20"/>
                <w:lang w:val="pt-BR"/>
              </w:rPr>
            </w:pPr>
            <w:r>
              <w:rPr>
                <w:rFonts w:eastAsia="Arial Unicode MS" w:ascii="Arial" w:hAnsi="Arial"/>
                <w:kern w:val="0"/>
                <w:sz w:val="20"/>
                <w:szCs w:val="20"/>
                <w:lang w:val="pt-BR" w:eastAsia="pt-BR" w:bidi="ar-SA"/>
              </w:rPr>
              <w:t>Leguminosas (kg/ha)</w:t>
            </w:r>
          </w:p>
        </w:tc>
        <w:tc>
          <w:tcPr>
            <w:tcW w:w="1637"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before="0" w:after="0"/>
              <w:ind w:left="80" w:hanging="0"/>
              <w:jc w:val="center"/>
              <w:rPr>
                <w:rFonts w:ascii="Arial" w:hAnsi="Arial"/>
                <w:sz w:val="20"/>
                <w:szCs w:val="20"/>
                <w:lang w:val="pt-BR"/>
              </w:rPr>
            </w:pPr>
            <w:r>
              <w:rPr>
                <w:rFonts w:eastAsia="Arial Unicode MS" w:ascii="Arial" w:hAnsi="Arial"/>
                <w:kern w:val="0"/>
                <w:sz w:val="20"/>
                <w:szCs w:val="20"/>
                <w:lang w:val="pt-BR" w:eastAsia="pt-BR" w:bidi="ar-SA"/>
              </w:rPr>
              <w:t>Produção forragem (kg/ha)</w:t>
            </w:r>
          </w:p>
        </w:tc>
      </w:tr>
      <w:tr>
        <w:trPr>
          <w:trHeight w:val="255" w:hRule="atLeast"/>
        </w:trPr>
        <w:tc>
          <w:tcPr>
            <w:tcW w:w="2251" w:type="dxa"/>
            <w:tcBorders>
              <w:top w:val="single" w:sz="4" w:space="0" w:color="000000"/>
            </w:tcBorders>
            <w:shd w:color="auto" w:fill="auto" w:val="clear"/>
            <w:tcMar>
              <w:left w:w="180" w:type="dxa"/>
            </w:tcMar>
            <w:vAlign w:val="center"/>
          </w:tcPr>
          <w:p>
            <w:pPr>
              <w:pStyle w:val="LOnormal"/>
              <w:widowControl w:val="false"/>
              <w:suppressAutoHyphens w:val="true"/>
              <w:spacing w:lineRule="auto" w:line="276" w:before="0" w:after="0"/>
              <w:ind w:left="100" w:hanging="0"/>
              <w:jc w:val="center"/>
              <w:rPr>
                <w:rFonts w:ascii="Arial" w:hAnsi="Arial"/>
              </w:rPr>
            </w:pPr>
            <w:r>
              <w:rPr>
                <w:rFonts w:eastAsia="Arial Unicode MS" w:ascii="Arial" w:hAnsi="Arial"/>
                <w:color w:val="000000"/>
                <w:kern w:val="0"/>
                <w:sz w:val="20"/>
                <w:szCs w:val="20"/>
                <w:u w:val="none" w:color="000000"/>
                <w:lang w:val="pt-BR" w:eastAsia="pt-BR" w:bidi="ar-SA"/>
              </w:rPr>
              <w:t>SCS</w:t>
            </w:r>
            <w:r>
              <w:rPr>
                <w:rFonts w:eastAsia="Arial Unicode MS" w:ascii="Arial" w:hAnsi="Arial"/>
                <w:kern w:val="0"/>
                <w:sz w:val="20"/>
                <w:szCs w:val="20"/>
                <w:u w:val="none" w:color="000000"/>
                <w:lang w:eastAsia="pt-BR" w:bidi="ar-SA"/>
              </w:rPr>
              <w:t>Centenário</w:t>
            </w:r>
          </w:p>
        </w:tc>
        <w:tc>
          <w:tcPr>
            <w:tcW w:w="1776" w:type="dxa"/>
            <w:tcBorders>
              <w:top w:val="single" w:sz="4" w:space="0" w:color="000000"/>
            </w:tcBorders>
            <w:shd w:color="auto" w:fill="auto" w:val="clear"/>
            <w:tcMar>
              <w:left w:w="180" w:type="dxa"/>
            </w:tcMa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7,8 (12,4)</w:t>
            </w:r>
          </w:p>
        </w:tc>
        <w:tc>
          <w:tcPr>
            <w:tcW w:w="1833" w:type="dxa"/>
            <w:tcBorders>
              <w:top w:val="single" w:sz="4" w:space="0" w:color="000000"/>
            </w:tcBorders>
            <w:shd w:color="auto" w:fill="auto" w:val="clear"/>
            <w:tcMar>
              <w:left w:w="18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9,8 (9,9)</w:t>
            </w:r>
          </w:p>
        </w:tc>
        <w:tc>
          <w:tcPr>
            <w:tcW w:w="1573" w:type="dxa"/>
            <w:tcBorders>
              <w:top w:val="single" w:sz="4" w:space="0" w:color="000000"/>
            </w:tcBorders>
            <w:tcMar>
              <w:top w:w="0" w:type="dxa"/>
              <w:left w:w="0" w:type="dxa"/>
              <w:bottom w:w="0" w:type="dxa"/>
              <w:right w:w="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286ab</w:t>
            </w:r>
          </w:p>
        </w:tc>
        <w:tc>
          <w:tcPr>
            <w:tcW w:w="1637" w:type="dxa"/>
            <w:tcBorders>
              <w:top w:val="single" w:sz="4" w:space="0" w:color="000000"/>
            </w:tcBorders>
            <w:shd w:color="auto" w:fill="auto" w:val="clear"/>
            <w:tcMar>
              <w:left w:w="18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14.257</w:t>
            </w:r>
          </w:p>
        </w:tc>
      </w:tr>
      <w:tr>
        <w:trPr>
          <w:trHeight w:val="257" w:hRule="atLeast"/>
        </w:trPr>
        <w:tc>
          <w:tcPr>
            <w:tcW w:w="2251" w:type="dxa"/>
            <w:tcBorders/>
            <w:shd w:color="auto" w:fill="auto" w:val="clear"/>
            <w:tcMar>
              <w:left w:w="160" w:type="dxa"/>
            </w:tcMar>
            <w:vAlign w:val="cente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BRS Integração</w:t>
            </w:r>
          </w:p>
        </w:tc>
        <w:tc>
          <w:tcPr>
            <w:tcW w:w="1776" w:type="dxa"/>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7,5 (13)</w:t>
            </w:r>
          </w:p>
        </w:tc>
        <w:tc>
          <w:tcPr>
            <w:tcW w:w="1833" w:type="dxa"/>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8,8 (11)</w:t>
            </w:r>
          </w:p>
        </w:tc>
        <w:tc>
          <w:tcPr>
            <w:tcW w:w="1573" w:type="dxa"/>
            <w:tcBorders/>
            <w:tcMar>
              <w:top w:w="0" w:type="dxa"/>
              <w:left w:w="0" w:type="dxa"/>
              <w:bottom w:w="0" w:type="dxa"/>
              <w:right w:w="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697a</w:t>
            </w:r>
          </w:p>
        </w:tc>
        <w:tc>
          <w:tcPr>
            <w:tcW w:w="1637" w:type="dxa"/>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14.235</w:t>
            </w:r>
          </w:p>
        </w:tc>
      </w:tr>
      <w:tr>
        <w:trPr>
          <w:trHeight w:val="264" w:hRule="atLeast"/>
        </w:trPr>
        <w:tc>
          <w:tcPr>
            <w:tcW w:w="2251" w:type="dxa"/>
            <w:tcBorders/>
            <w:shd w:color="auto" w:fill="auto" w:val="clear"/>
            <w:tcMar>
              <w:left w:w="160" w:type="dxa"/>
            </w:tcMar>
            <w:vAlign w:val="cente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Ponteio</w:t>
            </w:r>
          </w:p>
        </w:tc>
        <w:tc>
          <w:tcPr>
            <w:tcW w:w="1776" w:type="dxa"/>
            <w:tcBorders/>
            <w:shd w:color="auto" w:fill="auto" w:val="clear"/>
            <w:tcMar>
              <w:left w:w="160" w:type="dxa"/>
            </w:tcMa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7,8 (12,4)</w:t>
            </w:r>
          </w:p>
        </w:tc>
        <w:tc>
          <w:tcPr>
            <w:tcW w:w="1833" w:type="dxa"/>
            <w:tcBorders/>
            <w:shd w:color="auto" w:fill="auto" w:val="clear"/>
            <w:tcMar>
              <w:left w:w="160" w:type="dxa"/>
            </w:tcMa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9,0 (10,8)</w:t>
            </w:r>
          </w:p>
        </w:tc>
        <w:tc>
          <w:tcPr>
            <w:tcW w:w="1573" w:type="dxa"/>
            <w:tcBorders/>
            <w:tcMar>
              <w:top w:w="0" w:type="dxa"/>
              <w:left w:w="0" w:type="dxa"/>
              <w:bottom w:w="0" w:type="dxa"/>
              <w:right w:w="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198b</w:t>
            </w:r>
          </w:p>
        </w:tc>
        <w:tc>
          <w:tcPr>
            <w:tcW w:w="1637" w:type="dxa"/>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14.328</w:t>
            </w:r>
          </w:p>
        </w:tc>
      </w:tr>
      <w:tr>
        <w:trPr>
          <w:trHeight w:val="131" w:hRule="atLeast"/>
        </w:trPr>
        <w:tc>
          <w:tcPr>
            <w:tcW w:w="2251" w:type="dxa"/>
            <w:tcBorders>
              <w:bottom w:val="single" w:sz="4" w:space="0" w:color="000000"/>
            </w:tcBorders>
            <w:shd w:color="auto" w:fill="auto" w:val="clear"/>
            <w:tcMar>
              <w:left w:w="160" w:type="dxa"/>
            </w:tcMar>
            <w:vAlign w:val="center"/>
          </w:tcPr>
          <w:p>
            <w:pPr>
              <w:pStyle w:val="LOnormal"/>
              <w:widowControl w:val="false"/>
              <w:suppressAutoHyphens w:val="true"/>
              <w:spacing w:lineRule="auto" w:line="276" w:before="0" w:after="0"/>
              <w:ind w:left="80" w:hanging="0"/>
              <w:jc w:val="center"/>
              <w:rPr>
                <w:rFonts w:ascii="Arial" w:hAnsi="Arial"/>
                <w:sz w:val="20"/>
                <w:szCs w:val="20"/>
                <w:lang w:val="pt-BR"/>
              </w:rPr>
            </w:pPr>
            <w:r>
              <w:rPr>
                <w:rFonts w:eastAsia="Arial Unicode MS" w:ascii="Arial" w:hAnsi="Arial"/>
                <w:color w:val="000000"/>
                <w:kern w:val="0"/>
                <w:sz w:val="20"/>
                <w:szCs w:val="20"/>
                <w:u w:val="none" w:color="000000"/>
                <w:lang w:val="pt-BR" w:eastAsia="pt-BR" w:bidi="ar-SA"/>
              </w:rPr>
              <w:t>Alto Vale</w:t>
            </w:r>
          </w:p>
        </w:tc>
        <w:tc>
          <w:tcPr>
            <w:tcW w:w="1776" w:type="dxa"/>
            <w:tcBorders>
              <w:bottom w:val="single" w:sz="4" w:space="0" w:color="000000"/>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7,8 (12,4)</w:t>
            </w:r>
          </w:p>
        </w:tc>
        <w:tc>
          <w:tcPr>
            <w:tcW w:w="1833" w:type="dxa"/>
            <w:tcBorders>
              <w:bottom w:val="single" w:sz="4" w:space="0" w:color="000000"/>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9,3 (10,4)</w:t>
            </w:r>
          </w:p>
        </w:tc>
        <w:tc>
          <w:tcPr>
            <w:tcW w:w="1573" w:type="dxa"/>
            <w:tcBorders>
              <w:bottom w:val="single" w:sz="4" w:space="0" w:color="000000"/>
            </w:tcBorders>
            <w:tcMar>
              <w:top w:w="0" w:type="dxa"/>
              <w:left w:w="0" w:type="dxa"/>
              <w:bottom w:w="0" w:type="dxa"/>
              <w:right w:w="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271ab</w:t>
            </w:r>
          </w:p>
        </w:tc>
        <w:tc>
          <w:tcPr>
            <w:tcW w:w="1637" w:type="dxa"/>
            <w:tcBorders>
              <w:bottom w:val="single" w:sz="4" w:space="0" w:color="000000"/>
            </w:tcBorders>
            <w:shd w:color="auto" w:fill="auto" w:val="clear"/>
            <w:tcMar>
              <w:left w:w="160" w:type="dxa"/>
            </w:tcMa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14.188</w:t>
            </w:r>
          </w:p>
        </w:tc>
      </w:tr>
      <w:tr>
        <w:trPr>
          <w:trHeight w:val="324" w:hRule="atLeast"/>
        </w:trPr>
        <w:tc>
          <w:tcPr>
            <w:tcW w:w="2251" w:type="dxa"/>
            <w:tcBorders>
              <w:top w:val="single" w:sz="4" w:space="0" w:color="000000"/>
              <w:bottom w:val="single" w:sz="4" w:space="0" w:color="000000"/>
            </w:tcBorders>
            <w:shd w:color="auto" w:fill="FFFFFF" w:val="clear"/>
            <w:tcMar>
              <w:left w:w="160" w:type="dxa"/>
            </w:tcMar>
            <w:vAlign w:val="cente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Média</w:t>
            </w:r>
          </w:p>
        </w:tc>
        <w:tc>
          <w:tcPr>
            <w:tcW w:w="1776" w:type="dxa"/>
            <w:tcBorders>
              <w:top w:val="single" w:sz="4" w:space="0" w:color="000000"/>
              <w:bottom w:val="single" w:sz="4" w:space="0" w:color="000000"/>
            </w:tcBorders>
            <w:shd w:color="auto" w:fill="FFFFFF" w:val="clear"/>
            <w:tcMar>
              <w:left w:w="160" w:type="dxa"/>
            </w:tcMar>
            <w:vAlign w:val="cente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7,7 (12,6) b</w:t>
            </w:r>
          </w:p>
        </w:tc>
        <w:tc>
          <w:tcPr>
            <w:tcW w:w="1833" w:type="dxa"/>
            <w:tcBorders>
              <w:top w:val="single" w:sz="4" w:space="0" w:color="000000"/>
              <w:bottom w:val="single" w:sz="4" w:space="0" w:color="000000"/>
            </w:tcBorders>
            <w:shd w:color="auto" w:fill="FFFFFF" w:val="clear"/>
            <w:tcMar>
              <w:left w:w="160" w:type="dxa"/>
            </w:tcMar>
            <w:vAlign w:val="center"/>
          </w:tcPr>
          <w:p>
            <w:pPr>
              <w:pStyle w:val="LOnormal"/>
              <w:widowControl/>
              <w:suppressAutoHyphens w:val="true"/>
              <w:spacing w:before="0" w:after="0"/>
              <w:jc w:val="center"/>
              <w:rPr>
                <w:rFonts w:ascii="Arial" w:hAnsi="Arial"/>
                <w:sz w:val="20"/>
                <w:szCs w:val="20"/>
              </w:rPr>
            </w:pPr>
            <w:r>
              <w:rPr>
                <w:rFonts w:eastAsia="Arial Unicode MS" w:ascii="Arial" w:hAnsi="Arial"/>
                <w:kern w:val="0"/>
                <w:sz w:val="20"/>
                <w:szCs w:val="20"/>
                <w:lang w:eastAsia="pt-BR" w:bidi="ar-SA"/>
              </w:rPr>
              <w:t>9,13 (10,6) a</w:t>
            </w:r>
          </w:p>
        </w:tc>
        <w:tc>
          <w:tcPr>
            <w:tcW w:w="1573" w:type="dxa"/>
            <w:tcBorders>
              <w:top w:val="single" w:sz="4" w:space="0" w:color="000000"/>
              <w:bottom w:val="single" w:sz="4" w:space="0" w:color="000000"/>
            </w:tcBorders>
            <w:shd w:color="auto" w:fill="FFFFFF" w:val="clear"/>
            <w:tcMar>
              <w:top w:w="0" w:type="dxa"/>
              <w:left w:w="0" w:type="dxa"/>
              <w:bottom w:w="0" w:type="dxa"/>
              <w:right w:w="0" w:type="dxa"/>
            </w:tcMar>
            <w:vAlign w:val="cente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298</w:t>
            </w:r>
          </w:p>
        </w:tc>
        <w:tc>
          <w:tcPr>
            <w:tcW w:w="1637" w:type="dxa"/>
            <w:tcBorders>
              <w:top w:val="single" w:sz="4" w:space="0" w:color="000000"/>
              <w:bottom w:val="single" w:sz="4" w:space="0" w:color="000000"/>
            </w:tcBorders>
            <w:shd w:color="auto" w:fill="FFFFFF" w:val="clear"/>
            <w:tcMar>
              <w:left w:w="160" w:type="dxa"/>
            </w:tcMar>
            <w:vAlign w:val="center"/>
          </w:tcPr>
          <w:p>
            <w:pPr>
              <w:pStyle w:val="LOnormal"/>
              <w:widowControl/>
              <w:suppressAutoHyphens w:val="true"/>
              <w:spacing w:before="0" w:after="0"/>
              <w:jc w:val="center"/>
              <w:rPr>
                <w:rFonts w:ascii="Arial" w:hAnsi="Arial"/>
                <w:sz w:val="20"/>
                <w:szCs w:val="20"/>
                <w:u w:val="none" w:color="000000"/>
              </w:rPr>
            </w:pPr>
            <w:r>
              <w:rPr>
                <w:rFonts w:eastAsia="Arial Unicode MS" w:ascii="Arial" w:hAnsi="Arial"/>
                <w:kern w:val="0"/>
                <w:sz w:val="20"/>
                <w:szCs w:val="20"/>
                <w:u w:val="none" w:color="000000"/>
                <w:lang w:eastAsia="pt-BR" w:bidi="ar-SA"/>
              </w:rPr>
              <w:t>14.252</w:t>
            </w:r>
          </w:p>
        </w:tc>
      </w:tr>
    </w:tbl>
    <w:p>
      <w:pPr>
        <w:pStyle w:val="LOnormal"/>
        <w:widowControl w:val="false"/>
        <w:rPr>
          <w:rFonts w:ascii="Arial" w:hAnsi="Arial" w:eastAsia="Arial" w:cs="Arial"/>
          <w:color w:val="000000"/>
          <w:sz w:val="20"/>
          <w:szCs w:val="20"/>
          <w:u w:val="none" w:color="000000"/>
          <w:lang w:val="pt-BR"/>
        </w:rPr>
      </w:pPr>
      <w:r>
        <w:rPr>
          <w:rFonts w:eastAsia="Arial" w:cs="Arial" w:ascii="Arial" w:hAnsi="Arial"/>
          <w:color w:val="000000"/>
          <w:sz w:val="20"/>
          <w:szCs w:val="20"/>
          <w:u w:val="none" w:color="000000"/>
          <w:lang w:val="pt-BR"/>
        </w:rPr>
        <w:t>*Letras minúsculas diferentes na coluna apresentam diferença estatística pelo teste de Tukey a 5%. Entre parênteses significa o numero de dias entre os cortes.</w:t>
      </w:r>
    </w:p>
    <w:p>
      <w:pPr>
        <w:pStyle w:val="LOnormal"/>
        <w:spacing w:lineRule="auto" w:line="276" w:before="240" w:after="120"/>
        <w:ind w:left="20" w:hanging="0"/>
        <w:jc w:val="both"/>
        <w:rPr>
          <w:rFonts w:ascii="Arial" w:hAnsi="Arial"/>
          <w:b/>
          <w:b/>
          <w:bCs/>
          <w:color w:val="000000"/>
          <w:sz w:val="20"/>
          <w:szCs w:val="20"/>
          <w:u w:val="none" w:color="000000"/>
          <w:lang w:val="pt-BR"/>
        </w:rPr>
      </w:pPr>
      <w:r>
        <w:rPr>
          <w:rFonts w:cs="Arial" w:ascii="Arial" w:hAnsi="Arial"/>
          <w:color w:val="000000"/>
          <w:sz w:val="22"/>
          <w:szCs w:val="22"/>
          <w:lang w:val="pt-BR"/>
        </w:rPr>
        <w:t>A maior relação folha/colmo (Tabela 2) é observada na altura de rebaixamento de 30cm em relação a 20cm, não diferindo para os demais componentes da pastagem o que pode ser atribuído que as alturas residuais pretensamente estabelecidas, estão dentro de uma faixa de flexibilização de manejo para esta espécie (Sbrissia et al., 2013).</w:t>
      </w:r>
    </w:p>
    <w:p>
      <w:pPr>
        <w:pStyle w:val="LOnormal"/>
        <w:spacing w:lineRule="auto" w:line="276" w:before="240" w:after="120"/>
        <w:ind w:left="20" w:hanging="0"/>
        <w:jc w:val="both"/>
        <w:rPr>
          <w:rFonts w:ascii="Arial" w:hAnsi="Arial" w:eastAsia="Arial" w:cs="Arial"/>
          <w:b/>
          <w:b/>
          <w:bCs/>
          <w:color w:val="000000"/>
          <w:sz w:val="20"/>
          <w:szCs w:val="20"/>
          <w:u w:val="none" w:color="000000"/>
          <w:lang w:val="pt-BR"/>
        </w:rPr>
      </w:pPr>
      <w:r>
        <w:rPr>
          <w:rFonts w:ascii="Arial" w:hAnsi="Arial"/>
          <w:b/>
          <w:bCs/>
          <w:color w:val="000000"/>
          <w:sz w:val="20"/>
          <w:szCs w:val="20"/>
          <w:u w:val="none" w:color="000000"/>
          <w:lang w:val="pt-BR"/>
        </w:rPr>
        <w:t>Tabela 2. Produção de folhas, colmo, material senescente e relação folha/colmo expressos em kg de MS ha</w:t>
      </w:r>
      <w:r>
        <w:rPr>
          <w:rFonts w:ascii="Arial" w:hAnsi="Arial"/>
          <w:b/>
          <w:bCs/>
          <w:color w:val="000000"/>
          <w:sz w:val="20"/>
          <w:szCs w:val="20"/>
          <w:u w:val="none" w:color="000000"/>
          <w:vertAlign w:val="superscript"/>
          <w:lang w:val="pt-BR"/>
        </w:rPr>
        <w:t>-1</w:t>
      </w:r>
      <w:r>
        <w:rPr>
          <w:rFonts w:ascii="Arial" w:hAnsi="Arial"/>
          <w:b/>
          <w:bCs/>
          <w:color w:val="000000"/>
          <w:sz w:val="20"/>
          <w:szCs w:val="20"/>
          <w:u w:val="none" w:color="000000"/>
          <w:lang w:val="pt-BR"/>
        </w:rPr>
        <w:t xml:space="preserve"> de sorgo em sucessão a diferentes cultivares de azevém-anual.</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tbl>
      <w:tblPr>
        <w:tblStyle w:val="TableNormal"/>
        <w:tblW w:w="5000" w:type="pct"/>
        <w:jc w:val="center"/>
        <w:tblInd w:w="0" w:type="dxa"/>
        <w:tblLayout w:type="fixed"/>
        <w:tblCellMar>
          <w:top w:w="80" w:type="dxa"/>
          <w:left w:w="240" w:type="dxa"/>
          <w:bottom w:w="80" w:type="dxa"/>
          <w:right w:w="80" w:type="dxa"/>
        </w:tblCellMar>
        <w:tblLook w:firstRow="1" w:noVBand="1" w:lastRow="0" w:firstColumn="1" w:lastColumn="0" w:noHBand="0" w:val="04a0"/>
      </w:tblPr>
      <w:tblGrid>
        <w:gridCol w:w="1812"/>
        <w:gridCol w:w="1736"/>
        <w:gridCol w:w="1847"/>
        <w:gridCol w:w="1390"/>
        <w:gridCol w:w="2285"/>
      </w:tblGrid>
      <w:tr>
        <w:trPr>
          <w:trHeight w:val="436" w:hRule="atLeast"/>
        </w:trPr>
        <w:tc>
          <w:tcPr>
            <w:tcW w:w="1812" w:type="dxa"/>
            <w:tcBorders>
              <w:top w:val="single" w:sz="4" w:space="0" w:color="000000"/>
              <w:bottom w:val="single" w:sz="4" w:space="0" w:color="000000"/>
            </w:tcBorders>
            <w:shd w:color="auto" w:fill="auto" w:val="clear"/>
            <w:vAlign w:val="center"/>
          </w:tcPr>
          <w:p>
            <w:pPr>
              <w:pStyle w:val="LOnormal"/>
              <w:widowControl w:val="false"/>
              <w:suppressAutoHyphens w:val="true"/>
              <w:spacing w:before="0" w:after="0"/>
              <w:ind w:left="160" w:hanging="0"/>
              <w:jc w:val="center"/>
              <w:rPr>
                <w:sz w:val="20"/>
                <w:szCs w:val="20"/>
              </w:rPr>
            </w:pPr>
            <w:r>
              <w:rPr>
                <w:rFonts w:eastAsia="Arial Unicode MS"/>
                <w:kern w:val="0"/>
                <w:sz w:val="20"/>
                <w:szCs w:val="20"/>
                <w:lang w:eastAsia="pt-BR" w:bidi="ar-SA"/>
              </w:rPr>
              <w:t>Resíduo</w:t>
            </w:r>
          </w:p>
        </w:tc>
        <w:tc>
          <w:tcPr>
            <w:tcW w:w="1736" w:type="dxa"/>
            <w:tcBorders>
              <w:top w:val="single" w:sz="4" w:space="0" w:color="000000"/>
              <w:bottom w:val="single" w:sz="4" w:space="0" w:color="000000"/>
            </w:tcBorders>
            <w:shd w:color="auto" w:fill="auto" w:val="clear"/>
            <w:vAlign w:val="center"/>
          </w:tcPr>
          <w:p>
            <w:pPr>
              <w:pStyle w:val="LOnormal"/>
              <w:widowControl w:val="false"/>
              <w:suppressAutoHyphens w:val="true"/>
              <w:spacing w:before="0" w:after="0"/>
              <w:ind w:left="80" w:hanging="0"/>
              <w:jc w:val="center"/>
              <w:rPr>
                <w:sz w:val="20"/>
                <w:szCs w:val="20"/>
              </w:rPr>
            </w:pPr>
            <w:r>
              <w:rPr>
                <w:rFonts w:eastAsia="Arial Unicode MS"/>
                <w:kern w:val="0"/>
                <w:sz w:val="20"/>
                <w:szCs w:val="20"/>
                <w:lang w:eastAsia="pt-BR" w:bidi="ar-SA"/>
              </w:rPr>
              <w:t>Folhas</w:t>
            </w:r>
          </w:p>
        </w:tc>
        <w:tc>
          <w:tcPr>
            <w:tcW w:w="1847" w:type="dxa"/>
            <w:tcBorders>
              <w:top w:val="single" w:sz="4" w:space="0" w:color="000000"/>
              <w:bottom w:val="single" w:sz="4" w:space="0" w:color="000000"/>
            </w:tcBorders>
            <w:shd w:color="auto" w:fill="auto" w:val="clear"/>
            <w:tcMar>
              <w:top w:w="0" w:type="dxa"/>
              <w:left w:w="0" w:type="dxa"/>
              <w:bottom w:w="0" w:type="dxa"/>
              <w:right w:w="0" w:type="dxa"/>
            </w:tcMar>
            <w:vAlign w:val="center"/>
          </w:tcPr>
          <w:p>
            <w:pPr>
              <w:pStyle w:val="LOnormal"/>
              <w:widowControl w:val="false"/>
              <w:suppressAutoHyphens w:val="true"/>
              <w:spacing w:before="0" w:after="0"/>
              <w:ind w:left="80" w:hanging="0"/>
              <w:jc w:val="center"/>
              <w:rPr>
                <w:sz w:val="20"/>
                <w:szCs w:val="20"/>
              </w:rPr>
            </w:pPr>
            <w:r>
              <w:rPr>
                <w:rFonts w:eastAsia="Arial Unicode MS"/>
                <w:kern w:val="0"/>
                <w:sz w:val="20"/>
                <w:szCs w:val="20"/>
                <w:lang w:eastAsia="pt-BR" w:bidi="ar-SA"/>
              </w:rPr>
              <w:t>Colmos</w:t>
            </w:r>
          </w:p>
        </w:tc>
        <w:tc>
          <w:tcPr>
            <w:tcW w:w="1390"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before="0" w:after="0"/>
              <w:ind w:left="80" w:hanging="0"/>
              <w:jc w:val="center"/>
              <w:rPr>
                <w:sz w:val="20"/>
                <w:szCs w:val="20"/>
              </w:rPr>
            </w:pPr>
            <w:r>
              <w:rPr>
                <w:rFonts w:eastAsia="Arial Unicode MS"/>
                <w:kern w:val="0"/>
                <w:sz w:val="20"/>
                <w:szCs w:val="20"/>
                <w:lang w:eastAsia="pt-BR" w:bidi="ar-SA"/>
              </w:rPr>
              <w:t>Material</w:t>
            </w:r>
          </w:p>
          <w:p>
            <w:pPr>
              <w:pStyle w:val="LOnormal"/>
              <w:widowControl w:val="false"/>
              <w:suppressAutoHyphens w:val="true"/>
              <w:spacing w:before="0" w:after="0"/>
              <w:ind w:left="80" w:hanging="0"/>
              <w:jc w:val="center"/>
              <w:rPr>
                <w:sz w:val="20"/>
                <w:szCs w:val="20"/>
              </w:rPr>
            </w:pPr>
            <w:r>
              <w:rPr>
                <w:rFonts w:eastAsia="Arial Unicode MS"/>
                <w:kern w:val="0"/>
                <w:sz w:val="20"/>
                <w:szCs w:val="20"/>
                <w:lang w:eastAsia="pt-BR" w:bidi="ar-SA"/>
              </w:rPr>
              <w:t>senescence</w:t>
            </w:r>
          </w:p>
        </w:tc>
        <w:tc>
          <w:tcPr>
            <w:tcW w:w="2285"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before="0" w:after="0"/>
              <w:ind w:left="80" w:hanging="0"/>
              <w:jc w:val="center"/>
              <w:rPr>
                <w:sz w:val="20"/>
                <w:szCs w:val="20"/>
                <w:lang w:val="pt-BR"/>
              </w:rPr>
            </w:pPr>
            <w:r>
              <w:rPr>
                <w:rFonts w:eastAsia="Arial Unicode MS" w:ascii="Arial" w:hAnsi="Arial"/>
                <w:color w:val="000000"/>
                <w:kern w:val="0"/>
                <w:sz w:val="20"/>
                <w:szCs w:val="20"/>
                <w:u w:val="none" w:color="000000"/>
                <w:lang w:val="pt-BR" w:eastAsia="pt-BR" w:bidi="ar-SA"/>
              </w:rPr>
              <w:t>Relação Folha/colmo</w:t>
            </w:r>
          </w:p>
        </w:tc>
      </w:tr>
      <w:tr>
        <w:trPr>
          <w:trHeight w:val="360" w:hRule="atLeast"/>
        </w:trPr>
        <w:tc>
          <w:tcPr>
            <w:tcW w:w="1812" w:type="dxa"/>
            <w:tcBorders>
              <w:top w:val="single" w:sz="4" w:space="0" w:color="000000"/>
            </w:tcBorders>
            <w:shd w:color="auto" w:fill="auto" w:val="clear"/>
            <w:tcMar>
              <w:left w:w="180" w:type="dxa"/>
            </w:tcMar>
            <w:vAlign w:val="center"/>
          </w:tcPr>
          <w:p>
            <w:pPr>
              <w:pStyle w:val="LOnormal"/>
              <w:widowControl w:val="false"/>
              <w:suppressAutoHyphens w:val="true"/>
              <w:spacing w:lineRule="auto" w:line="276" w:before="0" w:after="0"/>
              <w:ind w:left="100" w:hanging="0"/>
              <w:jc w:val="center"/>
              <w:rPr>
                <w:sz w:val="20"/>
                <w:szCs w:val="20"/>
              </w:rPr>
            </w:pPr>
            <w:r>
              <w:rPr>
                <w:rFonts w:eastAsia="Arial Unicode MS" w:ascii="Arial" w:hAnsi="Arial"/>
                <w:color w:val="000000"/>
                <w:kern w:val="0"/>
                <w:sz w:val="20"/>
                <w:szCs w:val="20"/>
                <w:u w:val="none" w:color="000000"/>
                <w:lang w:eastAsia="pt-BR" w:bidi="ar-SA"/>
              </w:rPr>
              <w:t>20 cm</w:t>
            </w:r>
          </w:p>
        </w:tc>
        <w:tc>
          <w:tcPr>
            <w:tcW w:w="1736" w:type="dxa"/>
            <w:tcBorders>
              <w:top w:val="single" w:sz="4" w:space="0" w:color="000000"/>
            </w:tcBorders>
            <w:shd w:color="auto" w:fill="auto" w:val="clear"/>
            <w:tcMar>
              <w:left w:w="180" w:type="dxa"/>
            </w:tcMar>
          </w:tcPr>
          <w:p>
            <w:pPr>
              <w:pStyle w:val="LOnormal"/>
              <w:widowControl w:val="false"/>
              <w:suppressAutoHyphens w:val="true"/>
              <w:spacing w:lineRule="auto" w:line="276" w:before="0" w:after="0"/>
              <w:ind w:left="100" w:hanging="0"/>
              <w:jc w:val="center"/>
              <w:rPr>
                <w:sz w:val="20"/>
                <w:szCs w:val="20"/>
              </w:rPr>
            </w:pPr>
            <w:r>
              <w:rPr>
                <w:rFonts w:eastAsia="Arial Unicode MS"/>
                <w:kern w:val="0"/>
                <w:sz w:val="20"/>
                <w:szCs w:val="20"/>
                <w:lang w:eastAsia="pt-BR" w:bidi="ar-SA"/>
              </w:rPr>
              <w:t>5579</w:t>
            </w:r>
          </w:p>
        </w:tc>
        <w:tc>
          <w:tcPr>
            <w:tcW w:w="1847" w:type="dxa"/>
            <w:tcBorders>
              <w:top w:val="single" w:sz="4" w:space="0" w:color="000000"/>
            </w:tcBorders>
            <w:shd w:color="auto" w:fill="auto" w:val="clear"/>
            <w:tcMar>
              <w:left w:w="180" w:type="dxa"/>
            </w:tcMar>
          </w:tcPr>
          <w:p>
            <w:pPr>
              <w:pStyle w:val="LOnormal"/>
              <w:widowControl w:val="false"/>
              <w:suppressAutoHyphens w:val="true"/>
              <w:spacing w:lineRule="auto" w:line="276" w:before="0" w:after="0"/>
              <w:ind w:left="100" w:hanging="0"/>
              <w:jc w:val="center"/>
              <w:rPr>
                <w:sz w:val="20"/>
                <w:szCs w:val="20"/>
              </w:rPr>
            </w:pPr>
            <w:r>
              <w:rPr>
                <w:rFonts w:eastAsia="Arial Unicode MS" w:ascii="Arial" w:hAnsi="Arial"/>
                <w:color w:val="000000"/>
                <w:kern w:val="0"/>
                <w:sz w:val="20"/>
                <w:szCs w:val="20"/>
                <w:u w:val="none" w:color="000000"/>
                <w:lang w:eastAsia="pt-BR" w:bidi="ar-SA"/>
              </w:rPr>
              <w:t>1380</w:t>
            </w:r>
          </w:p>
        </w:tc>
        <w:tc>
          <w:tcPr>
            <w:tcW w:w="1390" w:type="dxa"/>
            <w:tcBorders>
              <w:top w:val="single" w:sz="4" w:space="0" w:color="000000"/>
            </w:tcBorders>
            <w:shd w:color="auto" w:fill="auto" w:val="clear"/>
            <w:tcMar>
              <w:left w:w="180" w:type="dxa"/>
            </w:tcMar>
          </w:tcPr>
          <w:p>
            <w:pPr>
              <w:pStyle w:val="LOnormal"/>
              <w:widowControl w:val="false"/>
              <w:suppressAutoHyphens w:val="true"/>
              <w:spacing w:lineRule="auto" w:line="276" w:before="0" w:after="0"/>
              <w:ind w:left="100" w:hanging="0"/>
              <w:jc w:val="center"/>
              <w:rPr>
                <w:sz w:val="20"/>
                <w:szCs w:val="20"/>
              </w:rPr>
            </w:pPr>
            <w:r>
              <w:rPr>
                <w:rFonts w:eastAsia="Arial Unicode MS" w:ascii="Arial" w:hAnsi="Arial"/>
                <w:color w:val="000000"/>
                <w:kern w:val="0"/>
                <w:sz w:val="20"/>
                <w:szCs w:val="20"/>
                <w:u w:val="none" w:color="000000"/>
                <w:lang w:eastAsia="pt-BR" w:bidi="ar-SA"/>
              </w:rPr>
              <w:t>233</w:t>
            </w:r>
          </w:p>
        </w:tc>
        <w:tc>
          <w:tcPr>
            <w:tcW w:w="2285" w:type="dxa"/>
            <w:tcBorders>
              <w:top w:val="single" w:sz="4" w:space="0" w:color="000000"/>
            </w:tcBorders>
            <w:shd w:color="auto" w:fill="auto" w:val="clear"/>
            <w:tcMar>
              <w:left w:w="180" w:type="dxa"/>
            </w:tcMar>
          </w:tcPr>
          <w:p>
            <w:pPr>
              <w:pStyle w:val="LOnormal"/>
              <w:widowControl w:val="false"/>
              <w:suppressAutoHyphens w:val="true"/>
              <w:spacing w:lineRule="auto" w:line="276" w:before="0" w:after="0"/>
              <w:ind w:left="100" w:hanging="0"/>
              <w:jc w:val="center"/>
              <w:rPr>
                <w:sz w:val="20"/>
                <w:szCs w:val="20"/>
              </w:rPr>
            </w:pPr>
            <w:r>
              <w:rPr>
                <w:rFonts w:eastAsia="Arial Unicode MS" w:ascii="Arial" w:hAnsi="Arial"/>
                <w:color w:val="000000"/>
                <w:kern w:val="0"/>
                <w:sz w:val="20"/>
                <w:szCs w:val="20"/>
                <w:u w:val="none" w:color="000000"/>
                <w:lang w:eastAsia="pt-BR" w:bidi="ar-SA"/>
              </w:rPr>
              <w:t>4,45 b</w:t>
            </w:r>
          </w:p>
        </w:tc>
      </w:tr>
      <w:tr>
        <w:trPr>
          <w:trHeight w:val="278" w:hRule="atLeast"/>
        </w:trPr>
        <w:tc>
          <w:tcPr>
            <w:tcW w:w="1812" w:type="dxa"/>
            <w:tcBorders/>
            <w:shd w:color="auto" w:fill="auto"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kern w:val="0"/>
                <w:sz w:val="20"/>
                <w:szCs w:val="20"/>
                <w:lang w:eastAsia="pt-BR" w:bidi="ar-SA"/>
              </w:rPr>
              <w:t>30 cm</w:t>
            </w:r>
          </w:p>
        </w:tc>
        <w:tc>
          <w:tcPr>
            <w:tcW w:w="1736" w:type="dxa"/>
            <w:tcBorders/>
            <w:shd w:color="auto" w:fill="auto" w:val="clear"/>
            <w:tcMar>
              <w:left w:w="160" w:type="dxa"/>
            </w:tcMa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5301</w:t>
            </w:r>
          </w:p>
        </w:tc>
        <w:tc>
          <w:tcPr>
            <w:tcW w:w="1847" w:type="dxa"/>
            <w:tcBorders/>
            <w:shd w:color="auto" w:fill="auto" w:val="clear"/>
            <w:tcMar>
              <w:left w:w="160" w:type="dxa"/>
            </w:tcMa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1044</w:t>
            </w:r>
          </w:p>
        </w:tc>
        <w:tc>
          <w:tcPr>
            <w:tcW w:w="1390" w:type="dxa"/>
            <w:tcBorders/>
            <w:shd w:color="auto" w:fill="auto" w:val="clear"/>
            <w:tcMar>
              <w:left w:w="160" w:type="dxa"/>
            </w:tcMa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209</w:t>
            </w:r>
          </w:p>
        </w:tc>
        <w:tc>
          <w:tcPr>
            <w:tcW w:w="2285" w:type="dxa"/>
            <w:tcBorders/>
            <w:shd w:color="auto" w:fill="auto" w:val="clear"/>
            <w:tcMar>
              <w:left w:w="160" w:type="dxa"/>
            </w:tcMa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6,4 a</w:t>
            </w:r>
          </w:p>
        </w:tc>
      </w:tr>
      <w:tr>
        <w:trPr>
          <w:trHeight w:val="388" w:hRule="atLeast"/>
        </w:trPr>
        <w:tc>
          <w:tcPr>
            <w:tcW w:w="1812"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Média</w:t>
            </w:r>
          </w:p>
        </w:tc>
        <w:tc>
          <w:tcPr>
            <w:tcW w:w="1736"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kern w:val="0"/>
                <w:sz w:val="20"/>
                <w:szCs w:val="20"/>
                <w:lang w:eastAsia="pt-BR" w:bidi="ar-SA"/>
              </w:rPr>
              <w:t>5440</w:t>
            </w:r>
          </w:p>
        </w:tc>
        <w:tc>
          <w:tcPr>
            <w:tcW w:w="1847"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kern w:val="0"/>
                <w:sz w:val="20"/>
                <w:szCs w:val="20"/>
                <w:lang w:eastAsia="pt-BR" w:bidi="ar-SA"/>
              </w:rPr>
              <w:t>1212</w:t>
            </w:r>
          </w:p>
        </w:tc>
        <w:tc>
          <w:tcPr>
            <w:tcW w:w="1390"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221</w:t>
            </w:r>
          </w:p>
        </w:tc>
        <w:tc>
          <w:tcPr>
            <w:tcW w:w="2285" w:type="dxa"/>
            <w:tcBorders>
              <w:top w:val="single" w:sz="4" w:space="0" w:color="000000"/>
              <w:bottom w:val="single" w:sz="4" w:space="0" w:color="000000"/>
            </w:tcBorders>
            <w:shd w:color="auto" w:fill="FFFFFF" w:val="clear"/>
            <w:tcMar>
              <w:left w:w="160" w:type="dxa"/>
            </w:tcMar>
            <w:vAlign w:val="center"/>
          </w:tcPr>
          <w:p>
            <w:pPr>
              <w:pStyle w:val="LOnormal"/>
              <w:widowControl w:val="false"/>
              <w:suppressAutoHyphens w:val="true"/>
              <w:spacing w:lineRule="auto" w:line="276" w:before="0" w:after="0"/>
              <w:ind w:left="80" w:hanging="0"/>
              <w:jc w:val="center"/>
              <w:rPr>
                <w:sz w:val="20"/>
                <w:szCs w:val="20"/>
              </w:rPr>
            </w:pPr>
            <w:r>
              <w:rPr>
                <w:rFonts w:eastAsia="Arial Unicode MS" w:ascii="Arial" w:hAnsi="Arial"/>
                <w:color w:val="000000"/>
                <w:kern w:val="0"/>
                <w:sz w:val="20"/>
                <w:szCs w:val="20"/>
                <w:u w:val="none" w:color="000000"/>
                <w:lang w:eastAsia="pt-BR" w:bidi="ar-SA"/>
              </w:rPr>
              <w:t>5,4</w:t>
            </w:r>
          </w:p>
        </w:tc>
      </w:tr>
    </w:tbl>
    <w:p>
      <w:pPr>
        <w:pStyle w:val="LOnormal"/>
        <w:widowControl w:val="false"/>
        <w:rPr>
          <w:rFonts w:ascii="Arial" w:hAnsi="Arial" w:eastAsia="Arial" w:cs="Arial"/>
          <w:color w:val="000000"/>
          <w:sz w:val="20"/>
          <w:szCs w:val="20"/>
          <w:u w:val="none" w:color="000000"/>
          <w:lang w:val="pt-BR"/>
        </w:rPr>
      </w:pPr>
      <w:r>
        <w:rPr>
          <w:rFonts w:eastAsia="Arial" w:cs="Arial" w:ascii="Arial" w:hAnsi="Arial"/>
          <w:color w:val="000000"/>
          <w:sz w:val="20"/>
          <w:szCs w:val="20"/>
          <w:u w:val="none" w:color="000000"/>
          <w:lang w:val="pt-BR"/>
        </w:rPr>
        <w:t xml:space="preserve">*Letras minúsculas diferentes na coluna apresentam diferença estatística pelo teste de tukey a 5%. </w:t>
      </w:r>
    </w:p>
    <w:p>
      <w:pPr>
        <w:pStyle w:val="LOnormal"/>
        <w:jc w:val="both"/>
        <w:rPr>
          <w:lang w:val="pt-BR"/>
        </w:rPr>
      </w:pPr>
      <w:r>
        <w:rPr>
          <w:lang w:val="pt-BR"/>
        </w:rPr>
      </w:r>
    </w:p>
    <w:p>
      <w:pPr>
        <w:pStyle w:val="LOnormal"/>
        <w:jc w:val="both"/>
        <w:rPr>
          <w:rFonts w:ascii="Arial" w:hAnsi="Arial" w:eastAsia="Arial" w:cs="Arial"/>
          <w:b/>
          <w:b/>
          <w:bCs/>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n</w:t>
      </w:r>
      <w:r>
        <w:rPr>
          <w:rFonts w:cs="Arial" w:ascii="Arial" w:hAnsi="Arial"/>
          <w:sz w:val="22"/>
          <w:szCs w:val="22"/>
          <w:lang w:val="pt-BR"/>
        </w:rPr>
        <w:t>ão há diferenças entre os cultivares de azevém-anual de diferentes ciclos em relação a produtividade subsequente de sorgo forrageiro. Entretanto, azevéns-anuais com o ciclo precoce e intermediário oportunizam uma maior presença de leguminosas na pastagem. A relação folha/colmo na pastagem de sorgo forrageiro é maior no manejo com resíduo de 30cm.</w:t>
      </w:r>
      <w:r>
        <w:rPr>
          <w:rFonts w:ascii="Arial" w:hAnsi="Arial"/>
          <w:color w:val="000000"/>
          <w:sz w:val="22"/>
          <w:szCs w:val="22"/>
          <w:u w:val="none" w:color="000000"/>
          <w:lang w:val="pt-BR"/>
        </w:rPr>
        <w:t xml:space="preserve"> </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t xml:space="preserve">Referências: </w:t>
      </w:r>
    </w:p>
    <w:p>
      <w:pPr>
        <w:pStyle w:val="NormalWeb"/>
        <w:spacing w:beforeAutospacing="0" w:before="0" w:afterAutospacing="0" w:after="0"/>
        <w:jc w:val="both"/>
        <w:rPr/>
      </w:pPr>
      <w:r>
        <w:rPr>
          <w:rFonts w:cs="Arial" w:ascii="Arial" w:hAnsi="Arial"/>
          <w:color w:val="222222"/>
          <w:sz w:val="22"/>
          <w:szCs w:val="22"/>
          <w:shd w:fill="FFFFFF" w:val="clear"/>
        </w:rPr>
        <w:t xml:space="preserve">KUHN, J. G.; CUMBE, T. A.; BARCELLOS, J. O. J. </w:t>
      </w:r>
      <w:bookmarkStart w:id="3" w:name="_GoBack"/>
      <w:bookmarkEnd w:id="3"/>
      <w:r>
        <w:rPr>
          <w:rFonts w:cs="Arial" w:ascii="Arial" w:hAnsi="Arial"/>
          <w:color w:val="222222"/>
          <w:sz w:val="22"/>
          <w:szCs w:val="22"/>
          <w:shd w:fill="FFFFFF" w:val="clear"/>
        </w:rPr>
        <w:t>Vazio forrageiro. Nespro Informa, n. 28, abr. 2020.</w:t>
      </w:r>
    </w:p>
    <w:p>
      <w:pPr>
        <w:pStyle w:val="NormalWeb"/>
        <w:spacing w:beforeAutospacing="0" w:before="0" w:afterAutospacing="0" w:after="0"/>
        <w:jc w:val="both"/>
        <w:rPr>
          <w:lang w:val="en-US"/>
        </w:rPr>
      </w:pPr>
      <w:r>
        <w:rPr>
          <w:rFonts w:cs="Arial" w:ascii="Arial" w:hAnsi="Arial"/>
          <w:color w:val="222222"/>
          <w:sz w:val="22"/>
          <w:szCs w:val="22"/>
          <w:shd w:fill="FFFFFF" w:val="clear"/>
        </w:rPr>
        <w:t xml:space="preserve">PORTUGAL, T. B., SZYMCZAK, L. S., DE MORAES, A., FONSECA, L., MEZZALIRA, J. C., SAVIAN, J. V., ZUBIETA A. S., BREMM, C., CARVALHO, P. C. DE F., MONTEIRO, A. L. G. Low-intensity, high-frequency grazing strategy increases herbage production and beef cattle performance on sorghum pastures. </w:t>
      </w:r>
      <w:r>
        <w:rPr>
          <w:rFonts w:cs="Arial" w:ascii="Arial" w:hAnsi="Arial"/>
          <w:color w:val="222222"/>
          <w:sz w:val="22"/>
          <w:szCs w:val="22"/>
          <w:shd w:fill="FFFFFF" w:val="clear"/>
          <w:lang w:val="en-US"/>
        </w:rPr>
        <w:t>Animals, v. 12, n. 1, p. 13, 2021.</w:t>
      </w:r>
    </w:p>
    <w:p>
      <w:pPr>
        <w:pStyle w:val="NormalWeb"/>
        <w:spacing w:beforeAutospacing="0" w:before="0" w:afterAutospacing="0" w:after="0"/>
        <w:jc w:val="both"/>
        <w:rPr>
          <w:lang w:val="en-US"/>
        </w:rPr>
      </w:pPr>
      <w:r>
        <w:rPr>
          <w:rFonts w:cs="Arial" w:ascii="Arial" w:hAnsi="Arial"/>
          <w:color w:val="222222"/>
          <w:sz w:val="22"/>
          <w:szCs w:val="22"/>
          <w:shd w:fill="FFFFFF" w:val="clear"/>
          <w:lang w:val="en-US"/>
        </w:rPr>
        <w:t>SBRISSIA, A. F., EUCLIDES, V. P., BARBOSA, R. A., MONTAGNER, D. B., PADILHA, D. A., SANTOS, G. T., ZANINI G. D., DUCHINI, P. G., DA SILVA, S. C. Grazing management flexibility in pastures subjected to rotational stocking management: herbage production and chemical composition of Kikuyu-grass sward. In: Proceedings of the 22nd International Grassland Congress, Sydney, Australia. 2013. p. 15-19.</w:t>
      </w:r>
    </w:p>
    <w:p>
      <w:pPr>
        <w:pStyle w:val="LOnormal"/>
        <w:jc w:val="both"/>
        <w:rPr/>
      </w:pPr>
      <w:r>
        <w:rPr>
          <w:rFonts w:cs="Arial" w:ascii="Arial" w:hAnsi="Arial"/>
          <w:color w:val="222222"/>
          <w:sz w:val="22"/>
          <w:szCs w:val="22"/>
          <w:shd w:fill="FFFFFF" w:val="clear"/>
        </w:rPr>
        <w:t xml:space="preserve">SCHONS, R. M. T., </w:t>
      </w:r>
      <w:r>
        <w:rPr>
          <w:rFonts w:cs="Arial" w:ascii="Arial" w:hAnsi="Arial"/>
          <w:color w:val="222222"/>
          <w:sz w:val="20"/>
          <w:szCs w:val="20"/>
          <w:shd w:fill="FFFFFF" w:val="clear"/>
        </w:rPr>
        <w:t>LACA, E. A., SAVIAN, J. V., MEZZALIRA, J. C., SCHNEIDER, E. A. N., CAETANO, L. A. M., ZUBIETA, A.S., BENVENUTTI, M. A., CARVALHO, P. D. F</w:t>
      </w:r>
      <w:r>
        <w:rPr>
          <w:rFonts w:cs="Arial" w:ascii="Arial" w:hAnsi="Arial"/>
          <w:color w:val="222222"/>
          <w:sz w:val="22"/>
          <w:szCs w:val="22"/>
          <w:shd w:fill="FFFFFF" w:val="clear"/>
        </w:rPr>
        <w:t>. ‘Rotatinuous’ stocking: An innovation in grazing management to foster both herbage and animal production. Livestock Science, v. 245, p. 104406, 2021.</w:t>
      </w:r>
      <w:bookmarkEnd w:id="2"/>
    </w:p>
    <w:p>
      <w:pPr>
        <w:pStyle w:val="LOnormal"/>
        <w:jc w:val="both"/>
        <w:rPr/>
      </w:pPr>
      <w:r>
        <w:rPr/>
        <w:drawing>
          <wp:anchor behindDoc="0" distT="152400" distB="152400" distL="152400" distR="152400" simplePos="0" locked="0" layoutInCell="0" allowOverlap="1" relativeHeight="3">
            <wp:simplePos x="0" y="0"/>
            <wp:positionH relativeFrom="page">
              <wp:posOffset>0</wp:posOffset>
            </wp:positionH>
            <wp:positionV relativeFrom="page">
              <wp:posOffset>0</wp:posOffset>
            </wp:positionV>
            <wp:extent cx="7556500" cy="1115060"/>
            <wp:effectExtent l="0" t="0" r="0" b="0"/>
            <wp:wrapTopAndBottom/>
            <wp:docPr id="3"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Cabeçalho SBSS-02.jpg"/>
                    <pic:cNvPicPr>
                      <a:picLocks noChangeAspect="1" noChangeArrowheads="1"/>
                    </pic:cNvPicPr>
                  </pic:nvPicPr>
                  <pic:blipFill>
                    <a:blip r:embed="rId4"/>
                    <a:stretch>
                      <a:fillRect/>
                    </a:stretch>
                  </pic:blipFill>
                  <pic:spPr bwMode="auto">
                    <a:xfrm>
                      <a:off x="0" y="0"/>
                      <a:ext cx="7556500" cy="1115060"/>
                    </a:xfrm>
                    <a:prstGeom prst="rect">
                      <a:avLst/>
                    </a:prstGeom>
                  </pic:spPr>
                </pic:pic>
              </a:graphicData>
            </a:graphic>
          </wp:anchor>
        </w:drawing>
      </w:r>
    </w:p>
    <w:sectPr>
      <w:headerReference w:type="default" r:id="rId5"/>
      <w:footerReference w:type="default" r:id="rId6"/>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e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settings.xml><?xml version="1.0" encoding="utf-8"?>
<w:settings xmlns:w="http://schemas.openxmlformats.org/wordprocessingml/2006/main">
  <w:zoom w:percent="137"/>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lang w:eastAsia="en-US" w:val="pt-BR" w:bidi="ar-SA"/>
    </w:rPr>
  </w:style>
  <w:style w:type="character" w:styleId="DefaultParagraphFont" w:default="1">
    <w:name w:val="Default Paragraph Font"/>
    <w:uiPriority w:val="1"/>
    <w:semiHidden/>
    <w:unhideWhenUsed/>
    <w:qFormat/>
    <w:rPr/>
  </w:style>
  <w:style w:type="character" w:styleId="LinkdaInternet" w:customStyle="1">
    <w:name w:val="Link da Internet"/>
    <w:rPr>
      <w:u w:val="single"/>
    </w:rPr>
  </w:style>
  <w:style w:type="character" w:styleId="TextodebaloChar" w:customStyle="1">
    <w:name w:val="Texto de balão Char"/>
    <w:basedOn w:val="DefaultParagraphFont"/>
    <w:link w:val="BalloonText"/>
    <w:uiPriority w:val="99"/>
    <w:semiHidden/>
    <w:qFormat/>
    <w:rsid w:val="00435a87"/>
    <w:rPr>
      <w:rFonts w:ascii="Segoe UI" w:hAnsi="Segoe UI" w:cs="Segoe UI"/>
      <w:sz w:val="18"/>
      <w:szCs w:val="18"/>
      <w:lang w:val="en-US" w:eastAsia="en-US"/>
    </w:rPr>
  </w:style>
  <w:style w:type="character" w:styleId="Annotationreference">
    <w:name w:val="annotation reference"/>
    <w:basedOn w:val="DefaultParagraphFont"/>
    <w:uiPriority w:val="99"/>
    <w:semiHidden/>
    <w:unhideWhenUsed/>
    <w:qFormat/>
    <w:rsid w:val="00435a87"/>
    <w:rPr>
      <w:sz w:val="16"/>
      <w:szCs w:val="16"/>
    </w:rPr>
  </w:style>
  <w:style w:type="character" w:styleId="TextodecomentrioChar" w:customStyle="1">
    <w:name w:val="Texto de comentário Char"/>
    <w:basedOn w:val="DefaultParagraphFont"/>
    <w:link w:val="Annotationtext"/>
    <w:uiPriority w:val="99"/>
    <w:semiHidden/>
    <w:qFormat/>
    <w:rsid w:val="00435a87"/>
    <w:rPr>
      <w:lang w:val="en-US" w:eastAsia="en-US"/>
    </w:rPr>
  </w:style>
  <w:style w:type="character" w:styleId="AssuntodocomentrioChar" w:customStyle="1">
    <w:name w:val="Assunto do comentário Char"/>
    <w:basedOn w:val="TextodecomentrioChar"/>
    <w:link w:val="Annotationsubject"/>
    <w:uiPriority w:val="99"/>
    <w:semiHidden/>
    <w:qFormat/>
    <w:rsid w:val="00435a87"/>
    <w:rPr>
      <w:b/>
      <w:bCs/>
      <w:lang w:val="en-US" w:eastAsia="en-US"/>
    </w:rPr>
  </w:style>
  <w:style w:type="character" w:styleId="Numeraodelinhas" w:customStyle="1">
    <w:name w:val="Numeração de linhas"/>
    <w:rPr/>
  </w:style>
  <w:style w:type="character" w:styleId="Smbolosdenumerao" w:customStyle="1">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Onormal" w:customStyle="1">
    <w:name w:val="LO-normal"/>
    <w:qFormat/>
    <w:pPr>
      <w:widowControl/>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NormalWeb">
    <w:name w:val="Normal (Web)"/>
    <w:basedOn w:val="Normal"/>
    <w:uiPriority w:val="99"/>
    <w:semiHidden/>
    <w:unhideWhenUsed/>
    <w:qFormat/>
    <w:rsid w:val="005c6fa7"/>
    <w:pPr>
      <w:spacing w:beforeAutospacing="1" w:afterAutospacing="1"/>
    </w:pPr>
    <w:rPr>
      <w:rFonts w:eastAsia="Times New Roman"/>
      <w:lang w:eastAsia="pt-BR"/>
    </w:rPr>
  </w:style>
  <w:style w:type="paragraph" w:styleId="Cabealho">
    <w:name w:val="Header"/>
    <w:basedOn w:val="CabealhoeRodap"/>
    <w:pPr/>
    <w:rPr/>
  </w:style>
  <w:style w:type="paragraph" w:styleId="Rodap">
    <w:name w:val="Footer"/>
    <w:basedOn w:val="CabealhoeRodap"/>
    <w:pPr/>
    <w:rPr/>
  </w:style>
  <w:style w:type="paragraph" w:styleId="BalloonText">
    <w:name w:val="Balloon Text"/>
    <w:basedOn w:val="Normal"/>
    <w:link w:val="TextodebaloChar"/>
    <w:uiPriority w:val="99"/>
    <w:semiHidden/>
    <w:unhideWhenUsed/>
    <w:qFormat/>
    <w:rsid w:val="00435a87"/>
    <w:pPr/>
    <w:rPr>
      <w:rFonts w:ascii="Segoe UI" w:hAnsi="Segoe UI" w:cs="Segoe UI"/>
      <w:sz w:val="18"/>
      <w:szCs w:val="18"/>
    </w:rPr>
  </w:style>
  <w:style w:type="paragraph" w:styleId="Annotationtext">
    <w:name w:val="annotation text"/>
    <w:basedOn w:val="Normal"/>
    <w:link w:val="TextodecomentrioChar"/>
    <w:uiPriority w:val="99"/>
    <w:semiHidden/>
    <w:unhideWhenUsed/>
    <w:qFormat/>
    <w:rsid w:val="00435a87"/>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5a87"/>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Application>LibreOffice/7.3.2.2$Windows_X86_64 LibreOffice_project/49f2b1bff42cfccbd8f788c8dc32c1c309559be0</Application>
  <AppVersion>15.0000</AppVersion>
  <Pages>3</Pages>
  <Words>1430</Words>
  <Characters>7825</Characters>
  <CharactersWithSpaces>9221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2023-10-23T20:09:00Z</dcterms:created>
  <dc:creator>Editor </dc:creator>
  <dc:description/>
  <dc:language>pt-BR</dc:language>
  <cp:lastModifiedBy>Tiago Celso Baldissera</cp:lastModifiedBy>
  <dcterms:modified xsi:type="dcterms:W3CDTF">2023-10-27T13:56:00Z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