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ind w:left="225" w:right="0" w:hanging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5584190" cy="786130"/>
            <wp:effectExtent l="0" t="0" r="0" b="0"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190" cy="78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9" w:after="0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</w:r>
    </w:p>
    <w:p>
      <w:pPr>
        <w:pStyle w:val="Ttulododocumento"/>
        <w:spacing w:lineRule="auto" w:line="276"/>
        <w:rPr/>
      </w:pPr>
      <w:r>
        <w:rPr/>
        <w:t>AVALIAÇÃO</w:t>
      </w:r>
      <w:r>
        <w:rPr>
          <w:spacing w:val="-5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PRODUTIVIDADE</w:t>
      </w:r>
      <w:r>
        <w:rPr>
          <w:spacing w:val="-4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FORRAGEM</w:t>
      </w:r>
      <w:r>
        <w:rPr>
          <w:spacing w:val="-4"/>
        </w:rPr>
        <w:t xml:space="preserve"> </w:t>
      </w:r>
      <w:r>
        <w:rPr/>
        <w:t>DO</w:t>
      </w:r>
      <w:r>
        <w:rPr>
          <w:spacing w:val="-4"/>
        </w:rPr>
        <w:t xml:space="preserve"> </w:t>
      </w:r>
      <w:r>
        <w:rPr/>
        <w:t>CAPIM-</w:t>
      </w:r>
      <w:r>
        <w:rPr>
          <w:spacing w:val="-75"/>
        </w:rPr>
        <w:t xml:space="preserve"> </w:t>
      </w:r>
      <w:r>
        <w:rPr/>
        <w:t>TANGOLA</w:t>
      </w:r>
    </w:p>
    <w:p>
      <w:pPr>
        <w:pStyle w:val="Corpodotexto"/>
        <w:spacing w:before="2" w:after="0"/>
        <w:rPr>
          <w:rFonts w:ascii="Arial" w:hAnsi="Arial"/>
          <w:b/>
          <w:b/>
          <w:sz w:val="32"/>
        </w:rPr>
      </w:pPr>
      <w:r>
        <w:rPr>
          <w:rFonts w:ascii="Arial" w:hAnsi="Arial"/>
          <w:b/>
          <w:sz w:val="32"/>
        </w:rPr>
      </w:r>
    </w:p>
    <w:p>
      <w:pPr>
        <w:pStyle w:val="Normal"/>
        <w:spacing w:lineRule="auto" w:line="276" w:before="0" w:after="0"/>
        <w:ind w:left="136" w:right="392" w:hanging="0"/>
        <w:jc w:val="center"/>
        <w:rPr>
          <w:sz w:val="20"/>
        </w:rPr>
      </w:pPr>
      <w:r>
        <w:rPr>
          <w:sz w:val="20"/>
          <w:u w:val="single"/>
        </w:rPr>
        <w:t>Tiago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Celso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Baldissera</w:t>
      </w:r>
      <w:r>
        <w:rPr>
          <w:sz w:val="20"/>
          <w:vertAlign w:val="superscript"/>
        </w:rPr>
        <w:t>1</w:t>
      </w:r>
      <w:r>
        <w:rPr>
          <w:position w:val="0"/>
          <w:sz w:val="20"/>
          <w:sz w:val="20"/>
          <w:vertAlign w:val="baseline"/>
        </w:rPr>
        <w:t>,</w:t>
      </w:r>
      <w:r>
        <w:rPr>
          <w:spacing w:val="-6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Tovar</w:t>
      </w:r>
      <w:r>
        <w:rPr>
          <w:spacing w:val="-6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Raul</w:t>
      </w:r>
      <w:r>
        <w:rPr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Werlang</w:t>
      </w:r>
      <w:r>
        <w:rPr>
          <w:sz w:val="20"/>
          <w:vertAlign w:val="superscript"/>
        </w:rPr>
        <w:t>1</w:t>
      </w:r>
      <w:r>
        <w:rPr>
          <w:position w:val="0"/>
          <w:sz w:val="20"/>
          <w:sz w:val="20"/>
          <w:vertAlign w:val="baseline"/>
        </w:rPr>
        <w:t>,</w:t>
      </w:r>
      <w:r>
        <w:rPr>
          <w:spacing w:val="-7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Cassiano</w:t>
      </w:r>
      <w:r>
        <w:rPr>
          <w:spacing w:val="-4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Eduardo</w:t>
      </w:r>
      <w:r>
        <w:rPr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Pinto</w:t>
      </w:r>
      <w:r>
        <w:rPr>
          <w:sz w:val="20"/>
          <w:vertAlign w:val="superscript"/>
        </w:rPr>
        <w:t>1</w:t>
      </w:r>
      <w:r>
        <w:rPr>
          <w:position w:val="0"/>
          <w:sz w:val="20"/>
          <w:sz w:val="20"/>
          <w:vertAlign w:val="baseline"/>
        </w:rPr>
        <w:t>,</w:t>
      </w:r>
      <w:r>
        <w:rPr>
          <w:spacing w:val="-6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Fábio</w:t>
      </w:r>
      <w:r>
        <w:rPr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Cervo</w:t>
      </w:r>
      <w:r>
        <w:rPr>
          <w:spacing w:val="-4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Garagorry</w:t>
      </w:r>
      <w:r>
        <w:rPr>
          <w:sz w:val="20"/>
          <w:vertAlign w:val="superscript"/>
        </w:rPr>
        <w:t>2</w:t>
      </w:r>
      <w:r>
        <w:rPr>
          <w:spacing w:val="-53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Darci</w:t>
      </w:r>
      <w:r>
        <w:rPr>
          <w:spacing w:val="-2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Pitton</w:t>
      </w:r>
      <w:r>
        <w:rPr>
          <w:spacing w:val="-1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Filho</w:t>
      </w:r>
      <w:r>
        <w:rPr>
          <w:sz w:val="20"/>
          <w:vertAlign w:val="superscript"/>
        </w:rPr>
        <w:t>3</w:t>
      </w:r>
      <w:r>
        <w:rPr>
          <w:position w:val="0"/>
          <w:sz w:val="20"/>
          <w:sz w:val="20"/>
          <w:vertAlign w:val="baseline"/>
        </w:rPr>
        <w:t>.</w:t>
      </w:r>
    </w:p>
    <w:p>
      <w:pPr>
        <w:pStyle w:val="Corpodotexto"/>
        <w:spacing w:before="10" w:after="0"/>
        <w:rPr>
          <w:sz w:val="21"/>
        </w:rPr>
      </w:pPr>
      <w:r>
        <w:rPr>
          <w:sz w:val="21"/>
        </w:rPr>
      </w:r>
    </w:p>
    <w:p>
      <w:pPr>
        <w:pStyle w:val="Normal"/>
        <w:spacing w:before="0" w:after="0"/>
        <w:ind w:left="136" w:right="477" w:hanging="0"/>
        <w:jc w:val="center"/>
        <w:rPr>
          <w:sz w:val="20"/>
        </w:rPr>
      </w:pPr>
      <w:r>
        <w:rPr>
          <w:sz w:val="20"/>
          <w:vertAlign w:val="superscript"/>
        </w:rPr>
        <w:t>1</w:t>
      </w:r>
      <w:r>
        <w:rPr>
          <w:position w:val="0"/>
          <w:sz w:val="20"/>
          <w:sz w:val="20"/>
          <w:vertAlign w:val="baseline"/>
        </w:rPr>
        <w:t>Empresa</w:t>
      </w:r>
      <w:r>
        <w:rPr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de</w:t>
      </w:r>
      <w:r>
        <w:rPr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Pesquisa</w:t>
      </w:r>
      <w:r>
        <w:rPr>
          <w:spacing w:val="-4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Agropecuária</w:t>
      </w:r>
      <w:r>
        <w:rPr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de</w:t>
      </w:r>
      <w:r>
        <w:rPr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Santa</w:t>
      </w:r>
      <w:r>
        <w:rPr>
          <w:spacing w:val="-4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Catarina</w:t>
      </w:r>
      <w:r>
        <w:rPr>
          <w:spacing w:val="-6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–</w:t>
      </w:r>
      <w:r>
        <w:rPr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Epagri,</w:t>
      </w:r>
      <w:r>
        <w:rPr>
          <w:spacing w:val="2"/>
          <w:position w:val="0"/>
          <w:sz w:val="20"/>
          <w:sz w:val="20"/>
          <w:vertAlign w:val="baseline"/>
        </w:rPr>
        <w:t xml:space="preserve"> </w:t>
      </w:r>
      <w:r>
        <w:rPr>
          <w:sz w:val="20"/>
          <w:vertAlign w:val="superscript"/>
        </w:rPr>
        <w:t>2</w:t>
      </w:r>
      <w:r>
        <w:rPr>
          <w:position w:val="0"/>
          <w:sz w:val="20"/>
          <w:sz w:val="20"/>
          <w:vertAlign w:val="baseline"/>
        </w:rPr>
        <w:t>Empresa</w:t>
      </w:r>
      <w:r>
        <w:rPr>
          <w:spacing w:val="-4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Brasileira</w:t>
      </w:r>
      <w:r>
        <w:rPr>
          <w:spacing w:val="-5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de</w:t>
      </w:r>
      <w:r>
        <w:rPr>
          <w:spacing w:val="-6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Pesquisa</w:t>
      </w:r>
      <w:r>
        <w:rPr>
          <w:spacing w:val="-52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>Agropecuária,</w:t>
      </w:r>
      <w:r>
        <w:rPr>
          <w:spacing w:val="-1"/>
          <w:position w:val="0"/>
          <w:sz w:val="20"/>
          <w:sz w:val="20"/>
          <w:vertAlign w:val="baseline"/>
        </w:rPr>
        <w:t xml:space="preserve"> </w:t>
      </w:r>
      <w:r>
        <w:rPr>
          <w:position w:val="0"/>
          <w:sz w:val="20"/>
          <w:sz w:val="20"/>
          <w:vertAlign w:val="baseline"/>
        </w:rPr>
        <w:t xml:space="preserve">E-mail: </w:t>
      </w:r>
      <w:hyperlink r:id="rId3">
        <w:r>
          <w:rPr>
            <w:position w:val="0"/>
            <w:sz w:val="20"/>
            <w:sz w:val="20"/>
            <w:vertAlign w:val="baseline"/>
          </w:rPr>
          <w:t>tiagobaldissera@epagri.sc.gov.br</w:t>
        </w:r>
      </w:hyperlink>
    </w:p>
    <w:p>
      <w:pPr>
        <w:pStyle w:val="Corpodotexto"/>
        <w:rPr/>
      </w:pPr>
      <w:r>
        <w:rPr/>
      </w:r>
    </w:p>
    <w:p>
      <w:pPr>
        <w:pStyle w:val="Corpodotexto"/>
        <w:ind w:left="120" w:right="182" w:hanging="0"/>
        <w:jc w:val="both"/>
        <w:rPr/>
      </w:pPr>
      <w:r>
        <w:rPr>
          <w:rFonts w:ascii="Arial" w:hAnsi="Arial"/>
          <w:b/>
        </w:rPr>
        <w:t>Contribuição para a sociedade</w:t>
      </w:r>
      <w:r>
        <w:rPr/>
        <w:t>: O capim-tangola é uma espécie perene de verão, com</w:t>
      </w:r>
      <w:r>
        <w:rPr>
          <w:spacing w:val="1"/>
        </w:rPr>
        <w:t xml:space="preserve"> </w:t>
      </w:r>
      <w:r>
        <w:rPr/>
        <w:t>amplo uso no litoral sul de Santa Catarina e com potencial para utilização em todo o estado.</w:t>
      </w:r>
      <w:r>
        <w:rPr>
          <w:spacing w:val="1"/>
        </w:rPr>
        <w:t xml:space="preserve"> </w:t>
      </w:r>
      <w:r>
        <w:rPr/>
        <w:t>Apesar de ser uma espécie identificada para uso forrageiro no Rio de Janeiro na década de</w:t>
      </w:r>
      <w:r>
        <w:rPr>
          <w:spacing w:val="1"/>
        </w:rPr>
        <w:t xml:space="preserve"> </w:t>
      </w:r>
      <w:r>
        <w:rPr/>
        <w:t>70, são pouquíssimos os trabalhos disponíveis na literatura. Os produtores da região do</w:t>
      </w:r>
      <w:r>
        <w:rPr>
          <w:spacing w:val="1"/>
        </w:rPr>
        <w:t xml:space="preserve"> </w:t>
      </w:r>
      <w:r>
        <w:rPr/>
        <w:t>litoral sul de Santa Catarina manejam esta espécie de forma empírica, resultando em ótimos</w:t>
      </w:r>
      <w:r>
        <w:rPr>
          <w:spacing w:val="-59"/>
        </w:rPr>
        <w:t xml:space="preserve"> </w:t>
      </w:r>
      <w:r>
        <w:rPr/>
        <w:t>níveis de produção</w:t>
      </w:r>
      <w:r>
        <w:rPr>
          <w:spacing w:val="1"/>
        </w:rPr>
        <w:t xml:space="preserve"> </w:t>
      </w:r>
      <w:r>
        <w:rPr/>
        <w:t>vegetal e animal,</w:t>
      </w:r>
      <w:r>
        <w:rPr>
          <w:spacing w:val="1"/>
        </w:rPr>
        <w:t xml:space="preserve"> </w:t>
      </w:r>
      <w:r>
        <w:rPr/>
        <w:t>contudo,</w:t>
      </w:r>
      <w:r>
        <w:rPr>
          <w:spacing w:val="1"/>
        </w:rPr>
        <w:t xml:space="preserve"> </w:t>
      </w:r>
      <w:r>
        <w:rPr/>
        <w:t>é necessário</w:t>
      </w:r>
      <w:r>
        <w:rPr>
          <w:spacing w:val="61"/>
        </w:rPr>
        <w:t xml:space="preserve"> </w:t>
      </w:r>
      <w:r>
        <w:rPr/>
        <w:t>definir os critérios de manejo</w:t>
      </w:r>
      <w:r>
        <w:rPr>
          <w:spacing w:val="1"/>
        </w:rPr>
        <w:t xml:space="preserve"> </w:t>
      </w:r>
      <w:r>
        <w:rPr/>
        <w:t>que maximizem a produção vegetal e animal de forma sustentável. Nosso trabalho avaliou</w:t>
      </w:r>
      <w:r>
        <w:rPr>
          <w:spacing w:val="1"/>
        </w:rPr>
        <w:t xml:space="preserve"> </w:t>
      </w:r>
      <w:r>
        <w:rPr/>
        <w:t>durante dois anos a produção de forragem do capim-tangola, os resultados mostram o alto</w:t>
      </w:r>
      <w:r>
        <w:rPr>
          <w:spacing w:val="1"/>
        </w:rPr>
        <w:t xml:space="preserve"> </w:t>
      </w:r>
      <w:r>
        <w:rPr/>
        <w:t>potencial produtivo e resposta a adubação e manejo, atingindo produtividades de 24.820 kg</w:t>
      </w:r>
      <w:r>
        <w:rPr>
          <w:spacing w:val="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matéria seca por</w:t>
      </w:r>
      <w:r>
        <w:rPr>
          <w:spacing w:val="1"/>
        </w:rPr>
        <w:t xml:space="preserve"> </w:t>
      </w:r>
      <w:r>
        <w:rPr/>
        <w:t>hectare.</w:t>
      </w:r>
    </w:p>
    <w:p>
      <w:pPr>
        <w:pStyle w:val="Corpodotexto"/>
        <w:spacing w:before="11" w:after="0"/>
        <w:rPr>
          <w:sz w:val="21"/>
        </w:rPr>
      </w:pPr>
      <w:r>
        <w:rPr>
          <w:sz w:val="21"/>
        </w:rPr>
      </w:r>
    </w:p>
    <w:p>
      <w:pPr>
        <w:pStyle w:val="Normal"/>
        <w:spacing w:before="0" w:after="0"/>
        <w:ind w:left="120" w:right="179" w:hanging="0"/>
        <w:jc w:val="both"/>
        <w:rPr>
          <w:sz w:val="22"/>
        </w:rPr>
      </w:pPr>
      <w:r>
        <w:rPr>
          <w:rFonts w:ascii="Arial" w:hAnsi="Arial"/>
          <w:b/>
          <w:sz w:val="22"/>
        </w:rPr>
        <w:t>Palavras-chave</w:t>
      </w:r>
      <w:r>
        <w:rPr>
          <w:sz w:val="22"/>
        </w:rPr>
        <w:t>:</w:t>
      </w:r>
      <w:r>
        <w:rPr>
          <w:spacing w:val="1"/>
          <w:sz w:val="22"/>
        </w:rPr>
        <w:t xml:space="preserve"> </w:t>
      </w:r>
      <w:r>
        <w:rPr>
          <w:rFonts w:ascii="Arial" w:hAnsi="Arial"/>
          <w:i/>
          <w:sz w:val="22"/>
        </w:rPr>
        <w:t>Brachiaria</w:t>
      </w:r>
      <w:r>
        <w:rPr>
          <w:rFonts w:ascii="Arial" w:hAnsi="Arial"/>
          <w:i/>
          <w:spacing w:val="1"/>
          <w:sz w:val="22"/>
        </w:rPr>
        <w:t xml:space="preserve"> </w:t>
      </w:r>
      <w:r>
        <w:rPr>
          <w:rFonts w:ascii="Arial" w:hAnsi="Arial"/>
          <w:i/>
          <w:sz w:val="22"/>
        </w:rPr>
        <w:t>arrecta</w:t>
      </w:r>
      <w:r>
        <w:rPr>
          <w:rFonts w:ascii="Arial" w:hAnsi="Arial"/>
          <w:i/>
          <w:spacing w:val="1"/>
          <w:sz w:val="22"/>
        </w:rPr>
        <w:t xml:space="preserve"> </w:t>
      </w:r>
      <w:r>
        <w:rPr>
          <w:sz w:val="22"/>
        </w:rPr>
        <w:t>x</w:t>
      </w:r>
      <w:r>
        <w:rPr>
          <w:spacing w:val="1"/>
          <w:sz w:val="22"/>
        </w:rPr>
        <w:t xml:space="preserve"> </w:t>
      </w:r>
      <w:r>
        <w:rPr>
          <w:rFonts w:ascii="Arial" w:hAnsi="Arial"/>
          <w:i/>
          <w:sz w:val="22"/>
        </w:rPr>
        <w:t>B.</w:t>
      </w:r>
      <w:r>
        <w:rPr>
          <w:rFonts w:ascii="Arial" w:hAnsi="Arial"/>
          <w:i/>
          <w:spacing w:val="1"/>
          <w:sz w:val="22"/>
        </w:rPr>
        <w:t xml:space="preserve"> </w:t>
      </w:r>
      <w:r>
        <w:rPr>
          <w:rFonts w:ascii="Arial" w:hAnsi="Arial"/>
          <w:i/>
          <w:sz w:val="22"/>
        </w:rPr>
        <w:t>mutica</w:t>
      </w:r>
      <w:r>
        <w:rPr>
          <w:sz w:val="22"/>
        </w:rPr>
        <w:t>,</w:t>
      </w:r>
      <w:r>
        <w:rPr>
          <w:spacing w:val="1"/>
          <w:sz w:val="22"/>
        </w:rPr>
        <w:t xml:space="preserve"> </w:t>
      </w:r>
      <w:r>
        <w:rPr>
          <w:sz w:val="22"/>
        </w:rPr>
        <w:t>Altura,</w:t>
      </w:r>
      <w:r>
        <w:rPr>
          <w:spacing w:val="1"/>
          <w:sz w:val="22"/>
        </w:rPr>
        <w:t xml:space="preserve"> </w:t>
      </w:r>
      <w:r>
        <w:rPr>
          <w:sz w:val="22"/>
        </w:rPr>
        <w:t>Adubação,</w:t>
      </w:r>
      <w:r>
        <w:rPr>
          <w:spacing w:val="1"/>
          <w:sz w:val="22"/>
        </w:rPr>
        <w:t xml:space="preserve"> </w:t>
      </w:r>
      <w:r>
        <w:rPr>
          <w:sz w:val="22"/>
        </w:rPr>
        <w:t>Pecuária</w:t>
      </w:r>
      <w:r>
        <w:rPr>
          <w:spacing w:val="1"/>
          <w:sz w:val="22"/>
        </w:rPr>
        <w:t xml:space="preserve"> </w:t>
      </w:r>
      <w:r>
        <w:rPr>
          <w:sz w:val="22"/>
        </w:rPr>
        <w:t>de</w:t>
      </w:r>
      <w:r>
        <w:rPr>
          <w:spacing w:val="1"/>
          <w:sz w:val="22"/>
        </w:rPr>
        <w:t xml:space="preserve"> </w:t>
      </w:r>
      <w:r>
        <w:rPr>
          <w:sz w:val="22"/>
        </w:rPr>
        <w:t>corte,</w:t>
      </w:r>
      <w:r>
        <w:rPr>
          <w:spacing w:val="1"/>
          <w:sz w:val="22"/>
        </w:rPr>
        <w:t xml:space="preserve"> </w:t>
      </w:r>
      <w:r>
        <w:rPr>
          <w:sz w:val="22"/>
        </w:rPr>
        <w:t>acúmulo</w:t>
      </w:r>
      <w:r>
        <w:rPr>
          <w:spacing w:val="-1"/>
          <w:sz w:val="22"/>
        </w:rPr>
        <w:t xml:space="preserve"> </w:t>
      </w:r>
      <w:r>
        <w:rPr>
          <w:sz w:val="22"/>
        </w:rPr>
        <w:t>de forragem.</w:t>
      </w:r>
    </w:p>
    <w:p>
      <w:pPr>
        <w:pStyle w:val="Corpodotexto"/>
        <w:spacing w:before="1" w:after="0"/>
        <w:rPr/>
      </w:pPr>
      <w:r>
        <w:rPr/>
      </w:r>
    </w:p>
    <w:p>
      <w:pPr>
        <w:pStyle w:val="Corpodotexto"/>
        <w:ind w:left="120" w:right="176" w:hanging="0"/>
        <w:jc w:val="both"/>
        <w:rPr/>
      </w:pPr>
      <w:r>
        <w:rPr>
          <w:rFonts w:ascii="Arial" w:hAnsi="Arial"/>
          <w:b/>
        </w:rPr>
        <w:t xml:space="preserve">Introdução: </w:t>
      </w:r>
      <w:r>
        <w:rPr/>
        <w:t>O capim-tangola (</w:t>
      </w:r>
      <w:r>
        <w:rPr>
          <w:rFonts w:ascii="Arial" w:hAnsi="Arial"/>
          <w:i/>
        </w:rPr>
        <w:t xml:space="preserve">Brachiaria arrecta </w:t>
      </w:r>
      <w:r>
        <w:rPr/>
        <w:t xml:space="preserve">x </w:t>
      </w:r>
      <w:r>
        <w:rPr>
          <w:rFonts w:ascii="Arial" w:hAnsi="Arial"/>
          <w:i/>
        </w:rPr>
        <w:t>Brachiaria mutica</w:t>
      </w:r>
      <w:r>
        <w:rPr/>
        <w:t>) é um híbrido natural</w:t>
      </w:r>
      <w:r>
        <w:rPr>
          <w:spacing w:val="1"/>
        </w:rPr>
        <w:t xml:space="preserve"> </w:t>
      </w:r>
      <w:r>
        <w:rPr/>
        <w:t>(SILVA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AGOSTINI,</w:t>
      </w:r>
      <w:r>
        <w:rPr>
          <w:spacing w:val="1"/>
        </w:rPr>
        <w:t xml:space="preserve"> </w:t>
      </w:r>
      <w:r>
        <w:rPr/>
        <w:t>1978),</w:t>
      </w:r>
      <w:r>
        <w:rPr>
          <w:spacing w:val="1"/>
        </w:rPr>
        <w:t xml:space="preserve"> </w:t>
      </w:r>
      <w:r>
        <w:rPr/>
        <w:t>perene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verão,</w:t>
      </w:r>
      <w:r>
        <w:rPr>
          <w:spacing w:val="1"/>
        </w:rPr>
        <w:t xml:space="preserve"> </w:t>
      </w:r>
      <w:r>
        <w:rPr/>
        <w:t>com</w:t>
      </w:r>
      <w:r>
        <w:rPr>
          <w:spacing w:val="1"/>
        </w:rPr>
        <w:t xml:space="preserve"> </w:t>
      </w:r>
      <w:r>
        <w:rPr/>
        <w:t>boa</w:t>
      </w:r>
      <w:r>
        <w:rPr>
          <w:spacing w:val="1"/>
        </w:rPr>
        <w:t xml:space="preserve"> </w:t>
      </w:r>
      <w:r>
        <w:rPr/>
        <w:t>produção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forragem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boa</w:t>
      </w:r>
      <w:r>
        <w:rPr>
          <w:spacing w:val="1"/>
        </w:rPr>
        <w:t xml:space="preserve"> </w:t>
      </w:r>
      <w:r>
        <w:rPr/>
        <w:t>qualidade</w:t>
      </w:r>
      <w:r>
        <w:rPr>
          <w:spacing w:val="1"/>
        </w:rPr>
        <w:t xml:space="preserve"> </w:t>
      </w:r>
      <w:r>
        <w:rPr/>
        <w:t>bromatológica</w:t>
      </w:r>
      <w:r>
        <w:rPr>
          <w:spacing w:val="1"/>
        </w:rPr>
        <w:t xml:space="preserve"> </w:t>
      </w:r>
      <w:r>
        <w:rPr/>
        <w:t>comparada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outras</w:t>
      </w:r>
      <w:r>
        <w:rPr>
          <w:spacing w:val="1"/>
        </w:rPr>
        <w:t xml:space="preserve"> </w:t>
      </w:r>
      <w:r>
        <w:rPr/>
        <w:t>espécies</w:t>
      </w:r>
      <w:r>
        <w:rPr>
          <w:spacing w:val="1"/>
        </w:rPr>
        <w:t xml:space="preserve"> </w:t>
      </w:r>
      <w:r>
        <w:rPr/>
        <w:t>perenes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verão.</w:t>
      </w:r>
      <w:r>
        <w:rPr>
          <w:spacing w:val="1"/>
        </w:rPr>
        <w:t xml:space="preserve"> </w:t>
      </w:r>
      <w:r>
        <w:rPr/>
        <w:t>Apresenta</w:t>
      </w:r>
      <w:r>
        <w:rPr>
          <w:spacing w:val="1"/>
        </w:rPr>
        <w:t xml:space="preserve"> </w:t>
      </w:r>
      <w:r>
        <w:rPr/>
        <w:t>tolerância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solos</w:t>
      </w:r>
      <w:r>
        <w:rPr>
          <w:spacing w:val="1"/>
        </w:rPr>
        <w:t xml:space="preserve"> </w:t>
      </w:r>
      <w:r>
        <w:rPr/>
        <w:t>encharcados,</w:t>
      </w:r>
      <w:r>
        <w:rPr>
          <w:spacing w:val="1"/>
        </w:rPr>
        <w:t xml:space="preserve"> </w:t>
      </w:r>
      <w:r>
        <w:rPr/>
        <w:t>sendo</w:t>
      </w:r>
      <w:r>
        <w:rPr>
          <w:spacing w:val="1"/>
        </w:rPr>
        <w:t xml:space="preserve"> </w:t>
      </w:r>
      <w:r>
        <w:rPr/>
        <w:t>uma</w:t>
      </w:r>
      <w:r>
        <w:rPr>
          <w:spacing w:val="1"/>
        </w:rPr>
        <w:t xml:space="preserve"> </w:t>
      </w:r>
      <w:r>
        <w:rPr/>
        <w:t>espécie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amplo</w:t>
      </w:r>
      <w:r>
        <w:rPr>
          <w:spacing w:val="1"/>
        </w:rPr>
        <w:t xml:space="preserve"> </w:t>
      </w:r>
      <w:r>
        <w:rPr/>
        <w:t>uso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fácil</w:t>
      </w:r>
      <w:r>
        <w:rPr>
          <w:spacing w:val="1"/>
        </w:rPr>
        <w:t xml:space="preserve"> </w:t>
      </w:r>
      <w:r>
        <w:rPr/>
        <w:t>propagação</w:t>
      </w:r>
      <w:r>
        <w:rPr>
          <w:spacing w:val="-59"/>
        </w:rPr>
        <w:t xml:space="preserve"> </w:t>
      </w:r>
      <w:r>
        <w:rPr/>
        <w:t>vegetativa. Sua importância está principalmente no litoral sul de Santa Catarina, onde é</w:t>
      </w:r>
      <w:r>
        <w:rPr>
          <w:spacing w:val="1"/>
        </w:rPr>
        <w:t xml:space="preserve"> </w:t>
      </w:r>
      <w:r>
        <w:rPr/>
        <w:t>utilizada por diversos produtores. Contudo, a espécie tem potencial para ampliação de uso</w:t>
      </w:r>
      <w:r>
        <w:rPr>
          <w:spacing w:val="1"/>
        </w:rPr>
        <w:t xml:space="preserve"> </w:t>
      </w:r>
      <w:r>
        <w:rPr/>
        <w:t>em</w:t>
      </w:r>
      <w:r>
        <w:rPr>
          <w:spacing w:val="-4"/>
        </w:rPr>
        <w:t xml:space="preserve"> </w:t>
      </w:r>
      <w:r>
        <w:rPr/>
        <w:t>várias</w:t>
      </w:r>
      <w:r>
        <w:rPr>
          <w:spacing w:val="-2"/>
        </w:rPr>
        <w:t xml:space="preserve"> </w:t>
      </w:r>
      <w:r>
        <w:rPr/>
        <w:t>regiões e</w:t>
      </w:r>
      <w:r>
        <w:rPr>
          <w:spacing w:val="-4"/>
        </w:rPr>
        <w:t xml:space="preserve"> </w:t>
      </w:r>
      <w:r>
        <w:rPr/>
        <w:t>sistemas</w:t>
      </w:r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produção</w:t>
      </w:r>
      <w:r>
        <w:rPr>
          <w:spacing w:val="-2"/>
        </w:rPr>
        <w:t xml:space="preserve"> </w:t>
      </w:r>
      <w:r>
        <w:rPr/>
        <w:t>animal</w:t>
      </w:r>
      <w:r>
        <w:rPr>
          <w:spacing w:val="-1"/>
        </w:rPr>
        <w:t xml:space="preserve"> </w:t>
      </w:r>
      <w:r>
        <w:rPr/>
        <w:t>à</w:t>
      </w:r>
      <w:r>
        <w:rPr>
          <w:spacing w:val="-4"/>
        </w:rPr>
        <w:t xml:space="preserve"> </w:t>
      </w:r>
      <w:r>
        <w:rPr/>
        <w:t>base</w:t>
      </w:r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pastagens de</w:t>
      </w:r>
      <w:r>
        <w:rPr>
          <w:spacing w:val="-4"/>
        </w:rPr>
        <w:t xml:space="preserve"> </w:t>
      </w:r>
      <w:r>
        <w:rPr/>
        <w:t>Santa</w:t>
      </w:r>
      <w:r>
        <w:rPr>
          <w:spacing w:val="-2"/>
        </w:rPr>
        <w:t xml:space="preserve"> </w:t>
      </w:r>
      <w:r>
        <w:rPr/>
        <w:t>Catarina.</w:t>
      </w:r>
    </w:p>
    <w:p>
      <w:pPr>
        <w:pStyle w:val="Corpodotexto"/>
        <w:ind w:left="120" w:right="180" w:hanging="0"/>
        <w:jc w:val="both"/>
        <w:rPr/>
      </w:pPr>
      <w:r>
        <w:rPr/>
        <w:t>Mesmo se tratando de uma espécie com alto potencial para produção vegetal e animal,</w:t>
      </w:r>
      <w:r>
        <w:rPr>
          <w:spacing w:val="1"/>
        </w:rPr>
        <w:t xml:space="preserve"> </w:t>
      </w:r>
      <w:r>
        <w:rPr/>
        <w:t>poucos são os trabalhos encontrados na literatura nacional e internacional reportando seu</w:t>
      </w:r>
      <w:r>
        <w:rPr>
          <w:spacing w:val="1"/>
        </w:rPr>
        <w:t xml:space="preserve"> </w:t>
      </w:r>
      <w:r>
        <w:rPr/>
        <w:t>uso (ANDRADE et al., 2009), o que limita a quantidade de informações sobre produção e</w:t>
      </w:r>
      <w:r>
        <w:rPr>
          <w:spacing w:val="1"/>
        </w:rPr>
        <w:t xml:space="preserve"> </w:t>
      </w:r>
      <w:r>
        <w:rPr/>
        <w:t>disponibilidade anual de forragem desta espécie sob o enfoque do manejo que maximizem a</w:t>
      </w:r>
      <w:r>
        <w:rPr>
          <w:spacing w:val="-59"/>
        </w:rPr>
        <w:t xml:space="preserve"> </w:t>
      </w:r>
      <w:r>
        <w:rPr/>
        <w:t>produção animal. Definir estratégias de manejo que permitam altos níveis de produção</w:t>
      </w:r>
      <w:r>
        <w:rPr>
          <w:spacing w:val="1"/>
        </w:rPr>
        <w:t xml:space="preserve"> </w:t>
      </w:r>
      <w:r>
        <w:rPr/>
        <w:t>vegetal e animal, por meio de curvas de distribuição de forragem ao longo do ano, são</w:t>
      </w:r>
      <w:r>
        <w:rPr>
          <w:spacing w:val="1"/>
        </w:rPr>
        <w:t xml:space="preserve"> </w:t>
      </w:r>
      <w:r>
        <w:rPr/>
        <w:t>fundamentais para a proporcionar elevada produtividade animal e sustentabilidade para os</w:t>
      </w:r>
      <w:r>
        <w:rPr>
          <w:spacing w:val="1"/>
        </w:rPr>
        <w:t xml:space="preserve"> </w:t>
      </w:r>
      <w:r>
        <w:rPr/>
        <w:t>pecuaristas do litoral sul de Santa Catarina. O presente trabalho teve o objetivo de avaliar a</w:t>
      </w:r>
      <w:r>
        <w:rPr>
          <w:spacing w:val="1"/>
        </w:rPr>
        <w:t xml:space="preserve"> </w:t>
      </w:r>
      <w:r>
        <w:rPr/>
        <w:t>dinâmica</w:t>
      </w:r>
      <w:r>
        <w:rPr>
          <w:spacing w:val="1"/>
        </w:rPr>
        <w:t xml:space="preserve"> </w:t>
      </w:r>
      <w:r>
        <w:rPr/>
        <w:t>da</w:t>
      </w:r>
      <w:r>
        <w:rPr>
          <w:spacing w:val="-3"/>
        </w:rPr>
        <w:t xml:space="preserve"> </w:t>
      </w:r>
      <w:r>
        <w:rPr/>
        <w:t>produção</w:t>
      </w:r>
      <w:r>
        <w:rPr>
          <w:spacing w:val="1"/>
        </w:rPr>
        <w:t xml:space="preserve"> </w:t>
      </w:r>
      <w:r>
        <w:rPr/>
        <w:t>de forragem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capim-tangola</w:t>
      </w:r>
      <w:r>
        <w:rPr>
          <w:spacing w:val="2"/>
        </w:rPr>
        <w:t xml:space="preserve"> </w:t>
      </w:r>
      <w:r>
        <w:rPr/>
        <w:t>durante</w:t>
      </w:r>
      <w:r>
        <w:rPr>
          <w:spacing w:val="-1"/>
        </w:rPr>
        <w:t xml:space="preserve"> </w:t>
      </w:r>
      <w:r>
        <w:rPr/>
        <w:t>o</w:t>
      </w:r>
      <w:r>
        <w:rPr>
          <w:spacing w:val="-3"/>
        </w:rPr>
        <w:t xml:space="preserve"> </w:t>
      </w:r>
      <w:r>
        <w:rPr/>
        <w:t>ano.</w:t>
      </w:r>
    </w:p>
    <w:p>
      <w:pPr>
        <w:pStyle w:val="Corpodotexto"/>
        <w:spacing w:before="11" w:after="0"/>
        <w:rPr>
          <w:sz w:val="21"/>
        </w:rPr>
      </w:pPr>
      <w:r>
        <w:rPr>
          <w:sz w:val="21"/>
        </w:rPr>
      </w:r>
    </w:p>
    <w:p>
      <w:pPr>
        <w:pStyle w:val="Corpodotexto"/>
        <w:ind w:left="120" w:right="175" w:hanging="0"/>
        <w:jc w:val="both"/>
        <w:rPr/>
      </w:pPr>
      <w:r>
        <w:rPr>
          <w:rFonts w:ascii="Arial" w:hAnsi="Arial"/>
          <w:b/>
        </w:rPr>
        <w:t xml:space="preserve">Material e métodos: </w:t>
      </w:r>
      <w:r>
        <w:rPr/>
        <w:t>O experimento foi conduzido na Epagri/Centro de Treinamento de</w:t>
      </w:r>
      <w:r>
        <w:rPr>
          <w:spacing w:val="1"/>
        </w:rPr>
        <w:t xml:space="preserve"> </w:t>
      </w:r>
      <w:r>
        <w:rPr/>
        <w:t>Tubarão (Cetuba), Santa Catarina, Brasil, com altitude 6m, latitude de 28º26’01’’ e longitude</w:t>
      </w:r>
      <w:r>
        <w:rPr>
          <w:spacing w:val="1"/>
        </w:rPr>
        <w:t xml:space="preserve"> </w:t>
      </w:r>
      <w:r>
        <w:rPr/>
        <w:t>de 49º00’42’’ em um delineamento experimental de blocos casualizados com oito repetições</w:t>
      </w:r>
      <w:r>
        <w:rPr>
          <w:spacing w:val="1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uma</w:t>
      </w:r>
      <w:r>
        <w:rPr>
          <w:spacing w:val="1"/>
        </w:rPr>
        <w:t xml:space="preserve"> </w:t>
      </w:r>
      <w:r>
        <w:rPr/>
        <w:t>área</w:t>
      </w:r>
      <w:r>
        <w:rPr>
          <w:spacing w:val="1"/>
        </w:rPr>
        <w:t xml:space="preserve"> </w:t>
      </w:r>
      <w:r>
        <w:rPr/>
        <w:t>experimental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nove</w:t>
      </w:r>
      <w:r>
        <w:rPr>
          <w:spacing w:val="1"/>
        </w:rPr>
        <w:t xml:space="preserve"> </w:t>
      </w:r>
      <w:r>
        <w:rPr/>
        <w:t>hectares.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solo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área</w:t>
      </w:r>
      <w:r>
        <w:rPr>
          <w:spacing w:val="1"/>
        </w:rPr>
        <w:t xml:space="preserve"> </w:t>
      </w:r>
      <w:r>
        <w:rPr/>
        <w:t>está</w:t>
      </w:r>
      <w:r>
        <w:rPr>
          <w:spacing w:val="1"/>
        </w:rPr>
        <w:t xml:space="preserve"> </w:t>
      </w:r>
      <w:r>
        <w:rPr/>
        <w:t>classificado</w:t>
      </w:r>
      <w:r>
        <w:rPr>
          <w:spacing w:val="1"/>
        </w:rPr>
        <w:t xml:space="preserve"> </w:t>
      </w:r>
      <w:r>
        <w:rPr/>
        <w:t>como</w:t>
      </w:r>
      <w:r>
        <w:rPr>
          <w:spacing w:val="1"/>
        </w:rPr>
        <w:t xml:space="preserve"> </w:t>
      </w:r>
      <w:r>
        <w:rPr/>
        <w:t>Organossolo háplico (EMBRAPA, 2013). Análise de solos apresentou valores médios de pH</w:t>
      </w:r>
      <w:r>
        <w:rPr>
          <w:spacing w:val="1"/>
        </w:rPr>
        <w:t xml:space="preserve"> </w:t>
      </w:r>
      <w:r>
        <w:rPr/>
        <w:t>SMP de 4,93; fósforo de 8,56 mg/dm</w:t>
      </w:r>
      <w:r>
        <w:rPr>
          <w:vertAlign w:val="superscript"/>
        </w:rPr>
        <w:t>3</w:t>
      </w:r>
      <w:r>
        <w:rPr>
          <w:position w:val="0"/>
          <w:sz w:val="22"/>
          <w:vertAlign w:val="baseline"/>
        </w:rPr>
        <w:t>; potássio com valores de 90,76 mg/dm</w:t>
      </w:r>
      <w:r>
        <w:rPr>
          <w:vertAlign w:val="superscript"/>
        </w:rPr>
        <w:t>3</w:t>
      </w:r>
      <w:r>
        <w:rPr>
          <w:position w:val="0"/>
          <w:sz w:val="22"/>
          <w:vertAlign w:val="baseline"/>
        </w:rPr>
        <w:t xml:space="preserve"> e soma de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bases de 60,07%.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O primeiro ano do período experimental foi de maio/2020 a abril/2021.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Neste ano não foi realizada a adubação no experimento. A condução do segundo ano de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avaliação foi de maio/2021 a abril/2022. A adubação de correção foi aplicada de acordo com</w:t>
      </w:r>
      <w:r>
        <w:rPr>
          <w:spacing w:val="-59"/>
          <w:position w:val="0"/>
          <w:sz w:val="22"/>
          <w:vertAlign w:val="baseline"/>
        </w:rPr>
        <w:t xml:space="preserve"> </w:t>
      </w:r>
      <w:r>
        <w:rPr>
          <w:position w:val="2"/>
        </w:rPr>
        <w:t>a</w:t>
      </w:r>
      <w:r>
        <w:rPr>
          <w:spacing w:val="21"/>
          <w:position w:val="2"/>
        </w:rPr>
        <w:t xml:space="preserve"> </w:t>
      </w:r>
      <w:r>
        <w:rPr>
          <w:position w:val="2"/>
        </w:rPr>
        <w:t>recomendação</w:t>
      </w:r>
      <w:r>
        <w:rPr>
          <w:spacing w:val="23"/>
          <w:position w:val="2"/>
        </w:rPr>
        <w:t xml:space="preserve"> </w:t>
      </w:r>
      <w:r>
        <w:rPr>
          <w:position w:val="2"/>
        </w:rPr>
        <w:t>agronômica</w:t>
      </w:r>
      <w:r>
        <w:rPr>
          <w:spacing w:val="22"/>
          <w:position w:val="2"/>
        </w:rPr>
        <w:t xml:space="preserve"> </w:t>
      </w:r>
      <w:r>
        <w:rPr>
          <w:position w:val="2"/>
        </w:rPr>
        <w:t>da</w:t>
      </w:r>
      <w:r>
        <w:rPr>
          <w:spacing w:val="21"/>
          <w:position w:val="2"/>
        </w:rPr>
        <w:t xml:space="preserve"> </w:t>
      </w:r>
      <w:r>
        <w:rPr>
          <w:position w:val="2"/>
        </w:rPr>
        <w:t>análise</w:t>
      </w:r>
      <w:r>
        <w:rPr>
          <w:spacing w:val="24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21"/>
          <w:position w:val="2"/>
        </w:rPr>
        <w:t xml:space="preserve"> </w:t>
      </w:r>
      <w:r>
        <w:rPr>
          <w:position w:val="2"/>
        </w:rPr>
        <w:t>solo</w:t>
      </w:r>
      <w:r>
        <w:rPr>
          <w:spacing w:val="21"/>
          <w:position w:val="2"/>
        </w:rPr>
        <w:t xml:space="preserve"> </w:t>
      </w:r>
      <w:r>
        <w:rPr>
          <w:position w:val="2"/>
        </w:rPr>
        <w:t>nas</w:t>
      </w:r>
      <w:r>
        <w:rPr>
          <w:spacing w:val="22"/>
          <w:position w:val="2"/>
        </w:rPr>
        <w:t xml:space="preserve"> </w:t>
      </w:r>
      <w:r>
        <w:rPr>
          <w:position w:val="2"/>
        </w:rPr>
        <w:t>doses</w:t>
      </w:r>
      <w:r>
        <w:rPr>
          <w:spacing w:val="22"/>
          <w:position w:val="2"/>
        </w:rPr>
        <w:t xml:space="preserve"> </w:t>
      </w:r>
      <w:r>
        <w:rPr>
          <w:position w:val="2"/>
        </w:rPr>
        <w:t>de:</w:t>
      </w:r>
      <w:r>
        <w:rPr>
          <w:spacing w:val="23"/>
          <w:position w:val="2"/>
        </w:rPr>
        <w:t xml:space="preserve"> </w:t>
      </w:r>
      <w:r>
        <w:rPr>
          <w:position w:val="2"/>
        </w:rPr>
        <w:t>KCl</w:t>
      </w:r>
      <w:r>
        <w:rPr>
          <w:spacing w:val="23"/>
          <w:position w:val="2"/>
        </w:rPr>
        <w:t xml:space="preserve"> </w:t>
      </w:r>
      <w:r>
        <w:rPr>
          <w:position w:val="2"/>
        </w:rPr>
        <w:t>-</w:t>
      </w:r>
      <w:r>
        <w:rPr>
          <w:spacing w:val="21"/>
          <w:position w:val="2"/>
        </w:rPr>
        <w:t xml:space="preserve"> </w:t>
      </w:r>
      <w:r>
        <w:rPr>
          <w:position w:val="2"/>
        </w:rPr>
        <w:t>150</w:t>
      </w:r>
      <w:r>
        <w:rPr>
          <w:spacing w:val="21"/>
          <w:position w:val="2"/>
        </w:rPr>
        <w:t xml:space="preserve"> </w:t>
      </w:r>
      <w:r>
        <w:rPr>
          <w:position w:val="2"/>
        </w:rPr>
        <w:t>kg/ha,</w:t>
      </w:r>
      <w:r>
        <w:rPr>
          <w:spacing w:val="21"/>
          <w:position w:val="2"/>
        </w:rPr>
        <w:t xml:space="preserve"> </w:t>
      </w:r>
      <w:r>
        <w:rPr>
          <w:position w:val="2"/>
        </w:rPr>
        <w:t>P</w:t>
      </w:r>
      <w:r>
        <w:rPr>
          <w:position w:val="0"/>
          <w:sz w:val="13"/>
          <w:sz w:val="13"/>
          <w:vertAlign w:val="baseline"/>
        </w:rPr>
        <w:t>2</w:t>
      </w:r>
      <w:r>
        <w:rPr>
          <w:position w:val="2"/>
        </w:rPr>
        <w:t>O</w:t>
      </w:r>
      <w:r>
        <w:rPr>
          <w:position w:val="0"/>
          <w:sz w:val="13"/>
          <w:sz w:val="13"/>
          <w:vertAlign w:val="baseline"/>
        </w:rPr>
        <w:t>5</w:t>
      </w:r>
      <w:r>
        <w:rPr>
          <w:spacing w:val="9"/>
          <w:position w:val="0"/>
          <w:sz w:val="13"/>
          <w:sz w:val="13"/>
          <w:vertAlign w:val="baseline"/>
        </w:rPr>
        <w:t xml:space="preserve"> </w:t>
      </w:r>
      <w:r>
        <w:rPr>
          <w:position w:val="2"/>
        </w:rPr>
        <w:t>150</w:t>
      </w:r>
    </w:p>
    <w:p>
      <w:pPr>
        <w:sectPr>
          <w:type w:val="nextPage"/>
          <w:pgSz w:w="11906" w:h="16838"/>
          <w:pgMar w:left="1300" w:right="1240" w:gutter="0" w:header="0" w:top="280" w:footer="0" w:bottom="280"/>
          <w:pgNumType w:fmt="decimal"/>
          <w:formProt w:val="false"/>
          <w:textDirection w:val="lrTb"/>
        </w:sectPr>
      </w:pPr>
    </w:p>
    <w:p>
      <w:pPr>
        <w:pStyle w:val="Corpodotexto"/>
        <w:spacing w:before="80" w:after="0"/>
        <w:ind w:left="120" w:right="172" w:hanging="0"/>
        <w:jc w:val="both"/>
        <w:rPr/>
      </w:pPr>
      <w:r>
        <w:rPr/>
        <w:t>kg/ha em maio/2021, a Uréia - 200 kg/ha foi aplicada em setembro/2021. O manejo do</w:t>
      </w:r>
      <w:r>
        <w:rPr>
          <w:spacing w:val="1"/>
        </w:rPr>
        <w:t xml:space="preserve"> </w:t>
      </w:r>
      <w:r>
        <w:rPr/>
        <w:t>pastejo foi em lotação contínua com novilhas de peso vivo de 230 +/- 37 kg. O critério de</w:t>
      </w:r>
      <w:r>
        <w:rPr>
          <w:spacing w:val="1"/>
        </w:rPr>
        <w:t xml:space="preserve"> </w:t>
      </w:r>
      <w:r>
        <w:rPr/>
        <w:t>manejo era de manutenção da altura média do piquete em 40 cm. A altura do pasto foi</w:t>
      </w:r>
      <w:r>
        <w:rPr>
          <w:spacing w:val="1"/>
        </w:rPr>
        <w:t xml:space="preserve"> </w:t>
      </w:r>
      <w:r>
        <w:rPr/>
        <w:t>monitorada semanalmente com a utilização de um bastão graduado (BARTHRAM, 1985).</w:t>
      </w:r>
      <w:r>
        <w:rPr>
          <w:spacing w:val="1"/>
        </w:rPr>
        <w:t xml:space="preserve"> </w:t>
      </w:r>
      <w:r>
        <w:rPr/>
        <w:t>Foram medidos 40 pontos por parcela para determinação da altura média do piquete. Para</w:t>
      </w:r>
      <w:r>
        <w:rPr>
          <w:spacing w:val="1"/>
        </w:rPr>
        <w:t xml:space="preserve"> </w:t>
      </w:r>
      <w:r>
        <w:rPr/>
        <w:t>determinação</w:t>
      </w:r>
      <w:r>
        <w:rPr>
          <w:spacing w:val="14"/>
        </w:rPr>
        <w:t xml:space="preserve"> </w:t>
      </w:r>
      <w:r>
        <w:rPr/>
        <w:t>da</w:t>
      </w:r>
      <w:r>
        <w:rPr>
          <w:spacing w:val="15"/>
        </w:rPr>
        <w:t xml:space="preserve"> </w:t>
      </w:r>
      <w:r>
        <w:rPr/>
        <w:t>matéria</w:t>
      </w:r>
      <w:r>
        <w:rPr>
          <w:spacing w:val="14"/>
        </w:rPr>
        <w:t xml:space="preserve"> </w:t>
      </w:r>
      <w:r>
        <w:rPr/>
        <w:t>seca</w:t>
      </w:r>
      <w:r>
        <w:rPr>
          <w:spacing w:val="13"/>
        </w:rPr>
        <w:t xml:space="preserve"> </w:t>
      </w:r>
      <w:r>
        <w:rPr/>
        <w:t>do</w:t>
      </w:r>
      <w:r>
        <w:rPr>
          <w:spacing w:val="15"/>
        </w:rPr>
        <w:t xml:space="preserve"> </w:t>
      </w:r>
      <w:r>
        <w:rPr/>
        <w:t>pasto,</w:t>
      </w:r>
      <w:r>
        <w:rPr>
          <w:spacing w:val="13"/>
        </w:rPr>
        <w:t xml:space="preserve"> </w:t>
      </w:r>
      <w:r>
        <w:rPr/>
        <w:t>foi</w:t>
      </w:r>
      <w:r>
        <w:rPr>
          <w:spacing w:val="14"/>
        </w:rPr>
        <w:t xml:space="preserve"> </w:t>
      </w:r>
      <w:r>
        <w:rPr/>
        <w:t>utilizada</w:t>
      </w:r>
      <w:r>
        <w:rPr>
          <w:spacing w:val="15"/>
        </w:rPr>
        <w:t xml:space="preserve"> </w:t>
      </w:r>
      <w:r>
        <w:rPr/>
        <w:t>a</w:t>
      </w:r>
      <w:r>
        <w:rPr>
          <w:spacing w:val="12"/>
        </w:rPr>
        <w:t xml:space="preserve"> </w:t>
      </w:r>
      <w:r>
        <w:rPr/>
        <w:t>técnica</w:t>
      </w:r>
      <w:r>
        <w:rPr>
          <w:spacing w:val="15"/>
        </w:rPr>
        <w:t xml:space="preserve"> </w:t>
      </w:r>
      <w:r>
        <w:rPr/>
        <w:t>da</w:t>
      </w:r>
      <w:r>
        <w:rPr>
          <w:spacing w:val="13"/>
        </w:rPr>
        <w:t xml:space="preserve"> </w:t>
      </w:r>
      <w:r>
        <w:rPr/>
        <w:t>dupla</w:t>
      </w:r>
      <w:r>
        <w:rPr>
          <w:spacing w:val="16"/>
        </w:rPr>
        <w:t xml:space="preserve"> </w:t>
      </w:r>
      <w:r>
        <w:rPr/>
        <w:t>amostragem</w:t>
      </w:r>
      <w:r>
        <w:rPr>
          <w:spacing w:val="14"/>
        </w:rPr>
        <w:t xml:space="preserve"> </w:t>
      </w:r>
      <w:r>
        <w:rPr/>
        <w:t>(Wilm</w:t>
      </w:r>
      <w:r>
        <w:rPr>
          <w:spacing w:val="-59"/>
        </w:rPr>
        <w:t xml:space="preserve"> </w:t>
      </w:r>
      <w:r>
        <w:rPr/>
        <w:t>et al., 1944), onde foram coletadas amostras rentes ao solo com quadros de área de 1,0m</w:t>
      </w:r>
      <w:r>
        <w:rPr>
          <w:vertAlign w:val="superscript"/>
        </w:rPr>
        <w:t>2</w:t>
      </w:r>
      <w:r>
        <w:rPr>
          <w:position w:val="0"/>
          <w:sz w:val="22"/>
          <w:vertAlign w:val="baseline"/>
        </w:rPr>
        <w:t>.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As amostras foram secas em estufa de ar forçado até manter peso constante. Os dados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foram submetidos aos testes de normalidade, homogeneidade e normalidade dos resíduos e</w:t>
      </w:r>
      <w:r>
        <w:rPr>
          <w:spacing w:val="-59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análise da variância. As médias das combinações de estações do ano (verão, outono,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primavera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e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inverno)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e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períodos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produtivos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(anos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2020/2021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e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2021/2022)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foram</w:t>
      </w:r>
      <w:r>
        <w:rPr>
          <w:spacing w:val="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comparadas</w:t>
      </w:r>
      <w:r>
        <w:rPr>
          <w:spacing w:val="-2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pelo</w:t>
      </w:r>
      <w:r>
        <w:rPr>
          <w:spacing w:val="-2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teste</w:t>
      </w:r>
      <w:r>
        <w:rPr>
          <w:spacing w:val="-4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tukey</w:t>
      </w:r>
      <w:r>
        <w:rPr>
          <w:spacing w:val="-2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dos</w:t>
      </w:r>
      <w:r>
        <w:rPr>
          <w:spacing w:val="-2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ao</w:t>
      </w:r>
      <w:r>
        <w:rPr>
          <w:spacing w:val="-2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nível</w:t>
      </w:r>
      <w:r>
        <w:rPr>
          <w:spacing w:val="-1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de</w:t>
      </w:r>
      <w:r>
        <w:rPr>
          <w:spacing w:val="-4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significância 5%</w:t>
      </w:r>
      <w:r>
        <w:rPr>
          <w:spacing w:val="-2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com</w:t>
      </w:r>
      <w:r>
        <w:rPr>
          <w:spacing w:val="-3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o</w:t>
      </w:r>
      <w:r>
        <w:rPr>
          <w:spacing w:val="-2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auxílio</w:t>
      </w:r>
      <w:r>
        <w:rPr>
          <w:spacing w:val="-2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do</w:t>
      </w:r>
      <w:r>
        <w:rPr>
          <w:spacing w:val="-2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software</w:t>
      </w:r>
      <w:r>
        <w:rPr>
          <w:spacing w:val="-2"/>
          <w:position w:val="0"/>
          <w:sz w:val="22"/>
          <w:vertAlign w:val="baseline"/>
        </w:rPr>
        <w:t xml:space="preserve"> </w:t>
      </w:r>
      <w:r>
        <w:rPr>
          <w:position w:val="0"/>
          <w:sz w:val="22"/>
          <w:vertAlign w:val="baseline"/>
        </w:rPr>
        <w:t>R.</w:t>
      </w:r>
    </w:p>
    <w:p>
      <w:pPr>
        <w:pStyle w:val="Corpodotexto"/>
        <w:spacing w:before="1" w:after="0"/>
        <w:rPr/>
      </w:pPr>
      <w:r>
        <w:rPr/>
      </w:r>
    </w:p>
    <w:p>
      <w:pPr>
        <w:pStyle w:val="Corpodotexto"/>
        <w:ind w:left="120" w:right="179" w:hanging="0"/>
        <w:jc w:val="both"/>
        <w:rPr/>
      </w:pPr>
      <w:r>
        <w:rPr>
          <w:rFonts w:ascii="Arial" w:hAnsi="Arial"/>
          <w:b/>
        </w:rPr>
        <w:t xml:space="preserve">Resultados e discussões: </w:t>
      </w:r>
      <w:r>
        <w:rPr/>
        <w:t>As condições pré experimentais apresentaram um déficit hídrico</w:t>
      </w:r>
      <w:r>
        <w:rPr>
          <w:spacing w:val="-59"/>
        </w:rPr>
        <w:t xml:space="preserve"> </w:t>
      </w:r>
      <w:r>
        <w:rPr/>
        <w:t>de 700mm entre os meses de novembro/2019 até o início do experimento em abril/2020.</w:t>
      </w:r>
      <w:r>
        <w:rPr>
          <w:spacing w:val="1"/>
        </w:rPr>
        <w:t xml:space="preserve"> </w:t>
      </w:r>
      <w:r>
        <w:rPr/>
        <w:t>Além disso, houveram infestações severas de lagartas em abril/2020, sendo necessário</w:t>
      </w:r>
      <w:r>
        <w:rPr>
          <w:spacing w:val="1"/>
        </w:rPr>
        <w:t xml:space="preserve"> </w:t>
      </w:r>
      <w:r>
        <w:rPr/>
        <w:t>intervenção</w:t>
      </w:r>
      <w:r>
        <w:rPr>
          <w:spacing w:val="1"/>
        </w:rPr>
        <w:t xml:space="preserve"> </w:t>
      </w:r>
      <w:r>
        <w:rPr/>
        <w:t>com</w:t>
      </w:r>
      <w:r>
        <w:rPr>
          <w:spacing w:val="1"/>
        </w:rPr>
        <w:t xml:space="preserve"> </w:t>
      </w:r>
      <w:r>
        <w:rPr/>
        <w:t>controle</w:t>
      </w:r>
      <w:r>
        <w:rPr>
          <w:spacing w:val="1"/>
        </w:rPr>
        <w:t xml:space="preserve"> </w:t>
      </w:r>
      <w:r>
        <w:rPr/>
        <w:t>químico.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segundo</w:t>
      </w:r>
      <w:r>
        <w:rPr>
          <w:spacing w:val="1"/>
        </w:rPr>
        <w:t xml:space="preserve"> </w:t>
      </w:r>
      <w:r>
        <w:rPr/>
        <w:t>ano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avaliação,</w:t>
      </w:r>
      <w:r>
        <w:rPr>
          <w:spacing w:val="1"/>
        </w:rPr>
        <w:t xml:space="preserve"> </w:t>
      </w:r>
      <w:r>
        <w:rPr/>
        <w:t>as</w:t>
      </w:r>
      <w:r>
        <w:rPr>
          <w:spacing w:val="1"/>
        </w:rPr>
        <w:t xml:space="preserve"> </w:t>
      </w:r>
      <w:r>
        <w:rPr/>
        <w:t>condições</w:t>
      </w:r>
      <w:r>
        <w:rPr>
          <w:spacing w:val="1"/>
        </w:rPr>
        <w:t xml:space="preserve"> </w:t>
      </w:r>
      <w:r>
        <w:rPr/>
        <w:t>meteorológicas ficaram dentro da média histórica. As taxas de acúmulo observadas neste</w:t>
      </w:r>
      <w:r>
        <w:rPr>
          <w:spacing w:val="1"/>
        </w:rPr>
        <w:t xml:space="preserve"> </w:t>
      </w:r>
      <w:r>
        <w:rPr/>
        <w:t>estudo</w:t>
      </w:r>
      <w:r>
        <w:rPr>
          <w:spacing w:val="1"/>
        </w:rPr>
        <w:t xml:space="preserve"> </w:t>
      </w:r>
      <w:r>
        <w:rPr/>
        <w:t>(Tabela</w:t>
      </w:r>
      <w:r>
        <w:rPr>
          <w:spacing w:val="1"/>
        </w:rPr>
        <w:t xml:space="preserve"> </w:t>
      </w:r>
      <w:r>
        <w:rPr/>
        <w:t>1)</w:t>
      </w:r>
      <w:r>
        <w:rPr>
          <w:spacing w:val="1"/>
        </w:rPr>
        <w:t xml:space="preserve"> </w:t>
      </w:r>
      <w:r>
        <w:rPr/>
        <w:t>apresentam</w:t>
      </w:r>
      <w:r>
        <w:rPr>
          <w:spacing w:val="1"/>
        </w:rPr>
        <w:t xml:space="preserve"> </w:t>
      </w:r>
      <w:r>
        <w:rPr/>
        <w:t>alto</w:t>
      </w:r>
      <w:r>
        <w:rPr>
          <w:spacing w:val="1"/>
        </w:rPr>
        <w:t xml:space="preserve"> </w:t>
      </w:r>
      <w:r>
        <w:rPr/>
        <w:t>potencial</w:t>
      </w:r>
      <w:r>
        <w:rPr>
          <w:spacing w:val="1"/>
        </w:rPr>
        <w:t xml:space="preserve"> </w:t>
      </w:r>
      <w:r>
        <w:rPr/>
        <w:t>produtivo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capim-tangola</w:t>
      </w:r>
      <w:r>
        <w:rPr>
          <w:spacing w:val="1"/>
        </w:rPr>
        <w:t xml:space="preserve"> </w:t>
      </w:r>
      <w:r>
        <w:rPr/>
        <w:t>ao</w:t>
      </w:r>
      <w:r>
        <w:rPr>
          <w:spacing w:val="1"/>
        </w:rPr>
        <w:t xml:space="preserve"> </w:t>
      </w:r>
      <w:r>
        <w:rPr/>
        <w:t>longo</w:t>
      </w:r>
      <w:r>
        <w:rPr>
          <w:spacing w:val="1"/>
        </w:rPr>
        <w:t xml:space="preserve"> </w:t>
      </w:r>
      <w:r>
        <w:rPr/>
        <w:t>das</w:t>
      </w:r>
      <w:r>
        <w:rPr>
          <w:spacing w:val="-59"/>
        </w:rPr>
        <w:t xml:space="preserve"> </w:t>
      </w:r>
      <w:r>
        <w:rPr/>
        <w:t>estações de crescimento e do ano. Avaliações conduzidas por Souto (1978) no período</w:t>
      </w:r>
      <w:r>
        <w:rPr>
          <w:spacing w:val="1"/>
        </w:rPr>
        <w:t xml:space="preserve"> </w:t>
      </w:r>
      <w:r>
        <w:rPr/>
        <w:t>chuvoso (primavera/verão) em Itaguaí, RJ, em solo de baixa fertilidade, apontam para taxa</w:t>
      </w:r>
      <w:r>
        <w:rPr>
          <w:spacing w:val="1"/>
        </w:rPr>
        <w:t xml:space="preserve"> </w:t>
      </w:r>
      <w:r>
        <w:rPr/>
        <w:t>de acúmulo inicial do do capim-tangola de 52,5 kg de MS/ha/dia. Nossos dados apontam</w:t>
      </w:r>
      <w:r>
        <w:rPr>
          <w:spacing w:val="1"/>
        </w:rPr>
        <w:t xml:space="preserve"> </w:t>
      </w:r>
      <w:r>
        <w:rPr/>
        <w:t>uma amplitude de crescimento nas estações mais quentes do ano de 23,6 a 132,7 kg de</w:t>
      </w:r>
      <w:r>
        <w:rPr>
          <w:spacing w:val="1"/>
        </w:rPr>
        <w:t xml:space="preserve"> </w:t>
      </w:r>
      <w:r>
        <w:rPr/>
        <w:t>MS/ha/ano. A produção total de pasto entre os anos avaliados (Tabela 1) mostram o alto</w:t>
      </w:r>
      <w:r>
        <w:rPr>
          <w:spacing w:val="1"/>
        </w:rPr>
        <w:t xml:space="preserve"> </w:t>
      </w:r>
      <w:r>
        <w:rPr/>
        <w:t>potencial</w:t>
      </w:r>
      <w:r>
        <w:rPr>
          <w:spacing w:val="1"/>
        </w:rPr>
        <w:t xml:space="preserve"> </w:t>
      </w:r>
      <w:r>
        <w:rPr/>
        <w:t>produtivo</w:t>
      </w:r>
      <w:r>
        <w:rPr>
          <w:spacing w:val="1"/>
        </w:rPr>
        <w:t xml:space="preserve"> </w:t>
      </w:r>
      <w:r>
        <w:rPr/>
        <w:t>do capim-tangola.</w:t>
      </w:r>
      <w:r>
        <w:rPr>
          <w:spacing w:val="1"/>
        </w:rPr>
        <w:t xml:space="preserve"> </w:t>
      </w:r>
      <w:r>
        <w:rPr/>
        <w:t>Mesmo em</w:t>
      </w:r>
      <w:r>
        <w:rPr>
          <w:spacing w:val="1"/>
        </w:rPr>
        <w:t xml:space="preserve"> </w:t>
      </w:r>
      <w:r>
        <w:rPr/>
        <w:t>condições</w:t>
      </w:r>
      <w:r>
        <w:rPr>
          <w:spacing w:val="1"/>
        </w:rPr>
        <w:t xml:space="preserve"> </w:t>
      </w:r>
      <w:r>
        <w:rPr/>
        <w:t>adversas de</w:t>
      </w:r>
      <w:r>
        <w:rPr>
          <w:spacing w:val="1"/>
        </w:rPr>
        <w:t xml:space="preserve"> </w:t>
      </w:r>
      <w:r>
        <w:rPr/>
        <w:t>déficit</w:t>
      </w:r>
      <w:r>
        <w:rPr>
          <w:spacing w:val="61"/>
        </w:rPr>
        <w:t xml:space="preserve"> </w:t>
      </w:r>
      <w:r>
        <w:rPr/>
        <w:t>hídrico,</w:t>
      </w:r>
      <w:r>
        <w:rPr>
          <w:spacing w:val="1"/>
        </w:rPr>
        <w:t xml:space="preserve"> </w:t>
      </w:r>
      <w:r>
        <w:rPr/>
        <w:t>baixa fertilidade de solo e ausência de adubação durante o primeiro ano do protocolo, o</w:t>
      </w:r>
      <w:r>
        <w:rPr>
          <w:spacing w:val="1"/>
        </w:rPr>
        <w:t xml:space="preserve"> </w:t>
      </w:r>
      <w:r>
        <w:rPr/>
        <w:t>capim-tangola</w:t>
      </w:r>
      <w:r>
        <w:rPr>
          <w:spacing w:val="-1"/>
        </w:rPr>
        <w:t xml:space="preserve"> </w:t>
      </w:r>
      <w:r>
        <w:rPr/>
        <w:t>teve</w:t>
      </w:r>
      <w:r>
        <w:rPr>
          <w:spacing w:val="-1"/>
        </w:rPr>
        <w:t xml:space="preserve"> </w:t>
      </w:r>
      <w:r>
        <w:rPr/>
        <w:t>uma</w:t>
      </w:r>
      <w:r>
        <w:rPr>
          <w:spacing w:val="-3"/>
        </w:rPr>
        <w:t xml:space="preserve"> </w:t>
      </w:r>
      <w:r>
        <w:rPr/>
        <w:t>produção</w:t>
      </w:r>
      <w:r>
        <w:rPr>
          <w:spacing w:val="1"/>
        </w:rPr>
        <w:t xml:space="preserve"> </w:t>
      </w:r>
      <w:r>
        <w:rPr/>
        <w:t>total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13.580</w:t>
      </w:r>
      <w:r>
        <w:rPr>
          <w:spacing w:val="-1"/>
        </w:rPr>
        <w:t xml:space="preserve"> </w:t>
      </w:r>
      <w:r>
        <w:rPr/>
        <w:t>kg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matéria</w:t>
      </w:r>
      <w:r>
        <w:rPr>
          <w:spacing w:val="-1"/>
        </w:rPr>
        <w:t xml:space="preserve"> </w:t>
      </w:r>
      <w:r>
        <w:rPr/>
        <w:t>seca/ha.</w:t>
      </w:r>
    </w:p>
    <w:p>
      <w:pPr>
        <w:pStyle w:val="Corpodotexto"/>
        <w:spacing w:before="10" w:after="0"/>
        <w:rPr>
          <w:sz w:val="21"/>
        </w:rPr>
      </w:pPr>
      <w:r>
        <w:rPr>
          <w:sz w:val="21"/>
        </w:rPr>
      </w:r>
    </w:p>
    <w:p>
      <w:pPr>
        <w:pStyle w:val="Corpodotexto"/>
        <w:spacing w:before="1" w:after="0"/>
        <w:ind w:left="120" w:right="179" w:hanging="0"/>
        <w:jc w:val="both"/>
        <w:rPr/>
      </w:pPr>
      <w:r>
        <w:rPr>
          <w:rFonts w:ascii="Arial" w:hAnsi="Arial"/>
          <w:b/>
        </w:rPr>
        <w:t>Tabela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1"/>
        </w:rPr>
        <w:t xml:space="preserve"> </w:t>
      </w:r>
      <w:r>
        <w:rPr/>
        <w:t>Taxa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acúmulo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produção</w:t>
      </w:r>
      <w:r>
        <w:rPr>
          <w:spacing w:val="1"/>
        </w:rPr>
        <w:t xml:space="preserve"> </w:t>
      </w:r>
      <w:r>
        <w:rPr/>
        <w:t>forragem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Capim-Tangola</w:t>
      </w:r>
      <w:r>
        <w:rPr>
          <w:spacing w:val="1"/>
        </w:rPr>
        <w:t xml:space="preserve"> </w:t>
      </w:r>
      <w:r>
        <w:rPr/>
        <w:t>em</w:t>
      </w:r>
      <w:r>
        <w:rPr>
          <w:spacing w:val="61"/>
        </w:rPr>
        <w:t xml:space="preserve"> </w:t>
      </w:r>
      <w:r>
        <w:rPr/>
        <w:t>diferentes</w:t>
      </w:r>
      <w:r>
        <w:rPr>
          <w:spacing w:val="1"/>
        </w:rPr>
        <w:t xml:space="preserve"> </w:t>
      </w:r>
      <w:r>
        <w:rPr/>
        <w:t>estações</w:t>
      </w:r>
      <w:r>
        <w:rPr>
          <w:spacing w:val="-1"/>
        </w:rPr>
        <w:t xml:space="preserve"> </w:t>
      </w:r>
      <w:r>
        <w:rPr/>
        <w:t>do ano e</w:t>
      </w:r>
      <w:r>
        <w:rPr>
          <w:spacing w:val="-2"/>
        </w:rPr>
        <w:t xml:space="preserve"> </w:t>
      </w:r>
      <w:r>
        <w:rPr/>
        <w:t>anos de</w:t>
      </w:r>
      <w:r>
        <w:rPr>
          <w:spacing w:val="-1"/>
        </w:rPr>
        <w:t xml:space="preserve"> </w:t>
      </w:r>
      <w:r>
        <w:rPr/>
        <w:t>avaliação.</w:t>
      </w:r>
    </w:p>
    <w:tbl>
      <w:tblPr>
        <w:tblW w:w="9090" w:type="dxa"/>
        <w:jc w:val="left"/>
        <w:tblInd w:w="128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919"/>
        <w:gridCol w:w="1710"/>
        <w:gridCol w:w="1575"/>
        <w:gridCol w:w="2176"/>
        <w:gridCol w:w="1710"/>
      </w:tblGrid>
      <w:tr>
        <w:trPr>
          <w:trHeight w:val="785" w:hRule="atLeast"/>
        </w:trPr>
        <w:tc>
          <w:tcPr>
            <w:tcW w:w="1919" w:type="dxa"/>
            <w:tcBorders>
              <w:top w:val="single" w:sz="24" w:space="0" w:color="000000"/>
              <w:left w:val="single" w:sz="8" w:space="0" w:color="FFFFFF"/>
              <w:bottom w:val="single" w:sz="24" w:space="0" w:color="000000"/>
              <w:right w:val="single" w:sz="8" w:space="0" w:color="FFFFFF"/>
            </w:tcBorders>
          </w:tcPr>
          <w:p>
            <w:pPr>
              <w:pStyle w:val="TableParagraph"/>
              <w:widowControl w:val="false"/>
              <w:spacing w:before="139" w:after="0"/>
              <w:ind w:left="563" w:right="0" w:hanging="0"/>
              <w:rPr>
                <w:sz w:val="22"/>
              </w:rPr>
            </w:pPr>
            <w:r>
              <w:rPr>
                <w:sz w:val="22"/>
              </w:rPr>
              <w:t>Estação</w:t>
            </w:r>
          </w:p>
        </w:tc>
        <w:tc>
          <w:tcPr>
            <w:tcW w:w="3285" w:type="dxa"/>
            <w:gridSpan w:val="2"/>
            <w:tcBorders>
              <w:top w:val="single" w:sz="24" w:space="0" w:color="000000"/>
              <w:left w:val="single" w:sz="8" w:space="0" w:color="FFFFFF"/>
              <w:bottom w:val="single" w:sz="24" w:space="0" w:color="000000"/>
              <w:right w:val="single" w:sz="8" w:space="0" w:color="FFFFFF"/>
            </w:tcBorders>
          </w:tcPr>
          <w:p>
            <w:pPr>
              <w:pStyle w:val="TableParagraph"/>
              <w:widowControl w:val="false"/>
              <w:spacing w:before="139" w:after="0"/>
              <w:ind w:left="871" w:right="148" w:hanging="696"/>
              <w:rPr>
                <w:sz w:val="22"/>
              </w:rPr>
            </w:pPr>
            <w:r>
              <w:rPr>
                <w:sz w:val="22"/>
              </w:rPr>
              <w:t>Taxa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acúmulo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forragem</w:t>
            </w:r>
            <w:r>
              <w:rPr>
                <w:spacing w:val="-58"/>
                <w:sz w:val="22"/>
              </w:rPr>
              <w:t xml:space="preserve"> </w:t>
            </w:r>
            <w:r>
              <w:rPr>
                <w:sz w:val="22"/>
              </w:rPr>
              <w:t>(kg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MS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ha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dia</w:t>
            </w:r>
            <w:r>
              <w:rPr>
                <w:sz w:val="22"/>
                <w:vertAlign w:val="superscript"/>
              </w:rPr>
              <w:t>-1</w:t>
            </w:r>
            <w:r>
              <w:rPr>
                <w:position w:val="0"/>
                <w:sz w:val="22"/>
                <w:sz w:val="22"/>
                <w:vertAlign w:val="baseline"/>
              </w:rPr>
              <w:t>)</w:t>
            </w:r>
          </w:p>
        </w:tc>
        <w:tc>
          <w:tcPr>
            <w:tcW w:w="3886" w:type="dxa"/>
            <w:gridSpan w:val="2"/>
            <w:tcBorders>
              <w:top w:val="single" w:sz="24" w:space="0" w:color="000000"/>
              <w:left w:val="single" w:sz="8" w:space="0" w:color="FFFFFF"/>
              <w:bottom w:val="single" w:sz="24" w:space="0" w:color="000000"/>
              <w:right w:val="single" w:sz="8" w:space="0" w:color="FFFFFF"/>
            </w:tcBorders>
          </w:tcPr>
          <w:p>
            <w:pPr>
              <w:pStyle w:val="TableParagraph"/>
              <w:widowControl w:val="false"/>
              <w:spacing w:before="139" w:after="0"/>
              <w:ind w:left="421" w:right="0" w:hanging="0"/>
              <w:rPr>
                <w:sz w:val="22"/>
              </w:rPr>
            </w:pPr>
            <w:r>
              <w:rPr>
                <w:sz w:val="22"/>
              </w:rPr>
              <w:t>Produção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forragem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(kg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ha</w:t>
            </w:r>
            <w:r>
              <w:rPr>
                <w:sz w:val="22"/>
                <w:vertAlign w:val="superscript"/>
              </w:rPr>
              <w:t>-1</w:t>
            </w:r>
            <w:r>
              <w:rPr>
                <w:position w:val="0"/>
                <w:sz w:val="22"/>
                <w:sz w:val="22"/>
                <w:vertAlign w:val="baseline"/>
              </w:rPr>
              <w:t>)</w:t>
            </w:r>
          </w:p>
        </w:tc>
      </w:tr>
      <w:tr>
        <w:trPr>
          <w:trHeight w:val="534" w:hRule="atLeast"/>
        </w:trPr>
        <w:tc>
          <w:tcPr>
            <w:tcW w:w="1919" w:type="dxa"/>
            <w:tcBorders>
              <w:top w:val="single" w:sz="24" w:space="0" w:color="000000"/>
              <w:left w:val="single" w:sz="8" w:space="0" w:color="FFFFFF"/>
              <w:right w:val="single" w:sz="8" w:space="0" w:color="FFFFFF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710" w:type="dxa"/>
            <w:tcBorders>
              <w:top w:val="single" w:sz="24" w:space="0" w:color="000000"/>
              <w:left w:val="single" w:sz="8" w:space="0" w:color="FFFFFF"/>
              <w:right w:val="single" w:sz="8" w:space="0" w:color="FFFFFF"/>
            </w:tcBorders>
          </w:tcPr>
          <w:p>
            <w:pPr>
              <w:pStyle w:val="TableParagraph"/>
              <w:widowControl w:val="false"/>
              <w:spacing w:before="139" w:after="0"/>
              <w:ind w:left="355" w:right="0" w:hanging="0"/>
              <w:rPr>
                <w:sz w:val="22"/>
              </w:rPr>
            </w:pPr>
            <w:r>
              <w:rPr>
                <w:sz w:val="22"/>
              </w:rPr>
              <w:t>Ano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20/21</w:t>
            </w:r>
          </w:p>
        </w:tc>
        <w:tc>
          <w:tcPr>
            <w:tcW w:w="1575" w:type="dxa"/>
            <w:tcBorders>
              <w:top w:val="single" w:sz="24" w:space="0" w:color="000000"/>
              <w:left w:val="single" w:sz="8" w:space="0" w:color="FFFFFF"/>
              <w:right w:val="single" w:sz="8" w:space="0" w:color="FFFFFF"/>
            </w:tcBorders>
          </w:tcPr>
          <w:p>
            <w:pPr>
              <w:pStyle w:val="TableParagraph"/>
              <w:widowControl w:val="false"/>
              <w:spacing w:before="139" w:after="0"/>
              <w:ind w:left="288" w:right="0" w:hanging="0"/>
              <w:rPr>
                <w:sz w:val="22"/>
              </w:rPr>
            </w:pPr>
            <w:r>
              <w:rPr>
                <w:sz w:val="22"/>
              </w:rPr>
              <w:t>Ano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21/22</w:t>
            </w:r>
          </w:p>
        </w:tc>
        <w:tc>
          <w:tcPr>
            <w:tcW w:w="2176" w:type="dxa"/>
            <w:tcBorders>
              <w:top w:val="single" w:sz="24" w:space="0" w:color="000000"/>
              <w:left w:val="single" w:sz="8" w:space="0" w:color="FFFFFF"/>
              <w:right w:val="single" w:sz="8" w:space="0" w:color="FFFFFF"/>
            </w:tcBorders>
          </w:tcPr>
          <w:p>
            <w:pPr>
              <w:pStyle w:val="TableParagraph"/>
              <w:widowControl w:val="false"/>
              <w:spacing w:before="139" w:after="0"/>
              <w:ind w:left="590" w:right="0" w:hanging="0"/>
              <w:rPr>
                <w:sz w:val="22"/>
              </w:rPr>
            </w:pPr>
            <w:r>
              <w:rPr>
                <w:sz w:val="22"/>
              </w:rPr>
              <w:t>Ano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20/21</w:t>
            </w:r>
          </w:p>
        </w:tc>
        <w:tc>
          <w:tcPr>
            <w:tcW w:w="1710" w:type="dxa"/>
            <w:tcBorders>
              <w:top w:val="single" w:sz="24" w:space="0" w:color="000000"/>
              <w:left w:val="single" w:sz="8" w:space="0" w:color="FFFFFF"/>
            </w:tcBorders>
          </w:tcPr>
          <w:p>
            <w:pPr>
              <w:pStyle w:val="TableParagraph"/>
              <w:widowControl w:val="false"/>
              <w:spacing w:before="139" w:after="0"/>
              <w:ind w:left="355" w:right="0" w:hanging="0"/>
              <w:rPr>
                <w:sz w:val="22"/>
              </w:rPr>
            </w:pPr>
            <w:r>
              <w:rPr>
                <w:sz w:val="22"/>
              </w:rPr>
              <w:t>Ano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21/22</w:t>
            </w:r>
          </w:p>
        </w:tc>
      </w:tr>
    </w:tbl>
    <w:p>
      <w:pPr>
        <w:pStyle w:val="Corpodotexto"/>
        <w:spacing w:before="10" w:after="0"/>
        <w:rPr>
          <w:sz w:val="11"/>
        </w:rPr>
      </w:pPr>
      <w:r>
        <w:rPr>
          <w:sz w:val="11"/>
        </w:rPr>
      </w:r>
    </w:p>
    <w:p>
      <w:pPr>
        <w:pStyle w:val="Corpodotexto"/>
        <w:spacing w:before="7" w:after="0"/>
        <w:rPr>
          <w:sz w:val="2"/>
        </w:rPr>
      </w:pPr>
      <w:r>
        <w:rPr>
          <w:sz w:val="2"/>
        </w:rPr>
      </w:r>
    </w:p>
    <w:tbl>
      <w:tblPr>
        <w:tblW w:w="8379" w:type="dxa"/>
        <w:jc w:val="left"/>
        <w:tblInd w:w="53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19"/>
        <w:gridCol w:w="1638"/>
        <w:gridCol w:w="1789"/>
        <w:gridCol w:w="1880"/>
        <w:gridCol w:w="1553"/>
      </w:tblGrid>
      <w:tr>
        <w:trPr>
          <w:trHeight w:val="388" w:hRule="atLeast"/>
        </w:trPr>
        <w:tc>
          <w:tcPr>
            <w:tcW w:w="1519" w:type="dxa"/>
            <w:tcBorders/>
          </w:tcPr>
          <w:p>
            <w:pPr>
              <w:pStyle w:val="TableParagraph"/>
              <w:widowControl w:val="false"/>
              <w:spacing w:lineRule="exact" w:line="246"/>
              <w:ind w:left="30" w:right="445" w:hanging="0"/>
              <w:jc w:val="center"/>
              <w:rPr>
                <w:sz w:val="22"/>
              </w:rPr>
            </w:pPr>
            <w:r>
              <w:rPr>
                <w:sz w:val="22"/>
              </w:rPr>
              <w:t>Inverno</w:t>
            </w:r>
          </w:p>
        </w:tc>
        <w:tc>
          <w:tcPr>
            <w:tcW w:w="1638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789" w:type="dxa"/>
            <w:tcBorders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880" w:type="dxa"/>
            <w:tcBorders/>
          </w:tcPr>
          <w:p>
            <w:pPr>
              <w:pStyle w:val="TableParagraph"/>
              <w:widowControl w:val="false"/>
              <w:spacing w:lineRule="exact" w:line="246"/>
              <w:ind w:left="479" w:right="481" w:hanging="0"/>
              <w:jc w:val="center"/>
              <w:rPr>
                <w:sz w:val="22"/>
              </w:rPr>
            </w:pPr>
            <w:r>
              <w:rPr>
                <w:sz w:val="22"/>
              </w:rPr>
              <w:t>1.611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Bb</w:t>
            </w:r>
          </w:p>
        </w:tc>
        <w:tc>
          <w:tcPr>
            <w:tcW w:w="1553" w:type="dxa"/>
            <w:tcBorders/>
          </w:tcPr>
          <w:p>
            <w:pPr>
              <w:pStyle w:val="TableParagraph"/>
              <w:widowControl w:val="false"/>
              <w:spacing w:lineRule="exact" w:line="246"/>
              <w:ind w:left="0" w:right="114" w:hanging="0"/>
              <w:jc w:val="right"/>
              <w:rPr>
                <w:sz w:val="22"/>
              </w:rPr>
            </w:pPr>
            <w:r>
              <w:rPr>
                <w:sz w:val="22"/>
              </w:rPr>
              <w:t>2.023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Ac</w:t>
            </w:r>
          </w:p>
        </w:tc>
      </w:tr>
      <w:tr>
        <w:trPr>
          <w:trHeight w:val="532" w:hRule="atLeast"/>
        </w:trPr>
        <w:tc>
          <w:tcPr>
            <w:tcW w:w="1519" w:type="dxa"/>
            <w:tcBorders/>
          </w:tcPr>
          <w:p>
            <w:pPr>
              <w:pStyle w:val="TableParagraph"/>
              <w:widowControl w:val="false"/>
              <w:spacing w:before="136" w:after="0"/>
              <w:ind w:left="30" w:right="443" w:hanging="0"/>
              <w:jc w:val="center"/>
              <w:rPr>
                <w:sz w:val="22"/>
              </w:rPr>
            </w:pPr>
            <w:r>
              <w:rPr>
                <w:sz w:val="22"/>
              </w:rPr>
              <w:t>Outono</w:t>
            </w:r>
          </w:p>
        </w:tc>
        <w:tc>
          <w:tcPr>
            <w:tcW w:w="1638" w:type="dxa"/>
            <w:tcBorders/>
          </w:tcPr>
          <w:p>
            <w:pPr>
              <w:pStyle w:val="TableParagraph"/>
              <w:widowControl w:val="false"/>
              <w:spacing w:before="136" w:after="0"/>
              <w:ind w:left="0" w:right="410" w:hanging="0"/>
              <w:jc w:val="right"/>
              <w:rPr>
                <w:sz w:val="22"/>
              </w:rPr>
            </w:pPr>
            <w:r>
              <w:rPr>
                <w:sz w:val="22"/>
              </w:rPr>
              <w:t>29,9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Bb</w:t>
            </w:r>
          </w:p>
        </w:tc>
        <w:tc>
          <w:tcPr>
            <w:tcW w:w="1789" w:type="dxa"/>
            <w:tcBorders/>
          </w:tcPr>
          <w:p>
            <w:pPr>
              <w:pStyle w:val="TableParagraph"/>
              <w:widowControl w:val="false"/>
              <w:spacing w:before="136" w:after="0"/>
              <w:ind w:left="0" w:right="558" w:hanging="0"/>
              <w:jc w:val="right"/>
              <w:rPr>
                <w:sz w:val="22"/>
              </w:rPr>
            </w:pPr>
            <w:r>
              <w:rPr>
                <w:sz w:val="22"/>
              </w:rPr>
              <w:t>52,7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Ab</w:t>
            </w:r>
          </w:p>
        </w:tc>
        <w:tc>
          <w:tcPr>
            <w:tcW w:w="1880" w:type="dxa"/>
            <w:tcBorders/>
          </w:tcPr>
          <w:p>
            <w:pPr>
              <w:pStyle w:val="TableParagraph"/>
              <w:widowControl w:val="false"/>
              <w:spacing w:before="136" w:after="0"/>
              <w:ind w:left="497" w:right="0" w:hanging="0"/>
              <w:rPr>
                <w:sz w:val="22"/>
              </w:rPr>
            </w:pPr>
            <w:r>
              <w:rPr>
                <w:sz w:val="22"/>
              </w:rPr>
              <w:t>4.280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Ba</w:t>
            </w:r>
          </w:p>
        </w:tc>
        <w:tc>
          <w:tcPr>
            <w:tcW w:w="1553" w:type="dxa"/>
            <w:tcBorders/>
          </w:tcPr>
          <w:p>
            <w:pPr>
              <w:pStyle w:val="TableParagraph"/>
              <w:widowControl w:val="false"/>
              <w:spacing w:before="136" w:after="0"/>
              <w:ind w:left="0" w:right="108" w:hanging="0"/>
              <w:jc w:val="right"/>
              <w:rPr>
                <w:sz w:val="22"/>
              </w:rPr>
            </w:pPr>
            <w:r>
              <w:rPr>
                <w:sz w:val="22"/>
              </w:rPr>
              <w:t>7.245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Aa</w:t>
            </w:r>
          </w:p>
        </w:tc>
      </w:tr>
      <w:tr>
        <w:trPr>
          <w:trHeight w:val="533" w:hRule="atLeast"/>
        </w:trPr>
        <w:tc>
          <w:tcPr>
            <w:tcW w:w="1519" w:type="dxa"/>
            <w:tcBorders/>
          </w:tcPr>
          <w:p>
            <w:pPr>
              <w:pStyle w:val="TableParagraph"/>
              <w:widowControl w:val="false"/>
              <w:spacing w:before="137" w:after="0"/>
              <w:ind w:left="30" w:right="446" w:hanging="0"/>
              <w:jc w:val="center"/>
              <w:rPr>
                <w:sz w:val="22"/>
              </w:rPr>
            </w:pPr>
            <w:r>
              <w:rPr>
                <w:sz w:val="22"/>
              </w:rPr>
              <w:t>Primavera</w:t>
            </w:r>
          </w:p>
        </w:tc>
        <w:tc>
          <w:tcPr>
            <w:tcW w:w="1638" w:type="dxa"/>
            <w:tcBorders/>
          </w:tcPr>
          <w:p>
            <w:pPr>
              <w:pStyle w:val="TableParagraph"/>
              <w:widowControl w:val="false"/>
              <w:spacing w:before="137" w:after="0"/>
              <w:ind w:left="0" w:right="410" w:hanging="0"/>
              <w:jc w:val="right"/>
              <w:rPr>
                <w:sz w:val="22"/>
              </w:rPr>
            </w:pPr>
            <w:r>
              <w:rPr>
                <w:sz w:val="22"/>
              </w:rPr>
              <w:t>23,6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Bb</w:t>
            </w:r>
          </w:p>
        </w:tc>
        <w:tc>
          <w:tcPr>
            <w:tcW w:w="1789" w:type="dxa"/>
            <w:tcBorders/>
          </w:tcPr>
          <w:p>
            <w:pPr>
              <w:pStyle w:val="TableParagraph"/>
              <w:widowControl w:val="false"/>
              <w:spacing w:before="137" w:after="0"/>
              <w:ind w:left="0" w:right="558" w:hanging="0"/>
              <w:jc w:val="right"/>
              <w:rPr>
                <w:sz w:val="22"/>
              </w:rPr>
            </w:pPr>
            <w:r>
              <w:rPr>
                <w:sz w:val="22"/>
              </w:rPr>
              <w:t>49,2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Ab</w:t>
            </w:r>
          </w:p>
        </w:tc>
        <w:tc>
          <w:tcPr>
            <w:tcW w:w="1880" w:type="dxa"/>
            <w:tcBorders/>
          </w:tcPr>
          <w:p>
            <w:pPr>
              <w:pStyle w:val="TableParagraph"/>
              <w:widowControl w:val="false"/>
              <w:spacing w:before="137" w:after="0"/>
              <w:ind w:left="497" w:right="0" w:hanging="0"/>
              <w:rPr>
                <w:sz w:val="22"/>
              </w:rPr>
            </w:pPr>
            <w:r>
              <w:rPr>
                <w:sz w:val="22"/>
              </w:rPr>
              <w:t>2.189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Bb</w:t>
            </w:r>
          </w:p>
        </w:tc>
        <w:tc>
          <w:tcPr>
            <w:tcW w:w="1553" w:type="dxa"/>
            <w:tcBorders/>
          </w:tcPr>
          <w:p>
            <w:pPr>
              <w:pStyle w:val="TableParagraph"/>
              <w:widowControl w:val="false"/>
              <w:spacing w:before="137" w:after="0"/>
              <w:ind w:left="0" w:right="108" w:hanging="0"/>
              <w:jc w:val="right"/>
              <w:rPr>
                <w:sz w:val="22"/>
              </w:rPr>
            </w:pPr>
            <w:r>
              <w:rPr>
                <w:sz w:val="22"/>
              </w:rPr>
              <w:t>5.346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Ab</w:t>
            </w:r>
          </w:p>
        </w:tc>
      </w:tr>
      <w:tr>
        <w:trPr>
          <w:trHeight w:val="388" w:hRule="atLeast"/>
        </w:trPr>
        <w:tc>
          <w:tcPr>
            <w:tcW w:w="1519" w:type="dxa"/>
            <w:tcBorders/>
          </w:tcPr>
          <w:p>
            <w:pPr>
              <w:pStyle w:val="TableParagraph"/>
              <w:widowControl w:val="false"/>
              <w:spacing w:lineRule="exact" w:line="233" w:before="136" w:after="0"/>
              <w:ind w:left="30" w:right="445" w:hanging="0"/>
              <w:jc w:val="center"/>
              <w:rPr>
                <w:sz w:val="22"/>
              </w:rPr>
            </w:pPr>
            <w:r>
              <w:rPr>
                <w:sz w:val="22"/>
              </w:rPr>
              <w:t>Verão</w:t>
            </w:r>
          </w:p>
        </w:tc>
        <w:tc>
          <w:tcPr>
            <w:tcW w:w="1638" w:type="dxa"/>
            <w:tcBorders/>
          </w:tcPr>
          <w:p>
            <w:pPr>
              <w:pStyle w:val="TableParagraph"/>
              <w:widowControl w:val="false"/>
              <w:spacing w:lineRule="exact" w:line="233" w:before="136" w:after="0"/>
              <w:ind w:left="0" w:right="410" w:hanging="0"/>
              <w:jc w:val="right"/>
              <w:rPr>
                <w:sz w:val="22"/>
              </w:rPr>
            </w:pPr>
            <w:r>
              <w:rPr>
                <w:sz w:val="22"/>
              </w:rPr>
              <w:t>65,0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Ba</w:t>
            </w:r>
          </w:p>
        </w:tc>
        <w:tc>
          <w:tcPr>
            <w:tcW w:w="1789" w:type="dxa"/>
            <w:tcBorders/>
          </w:tcPr>
          <w:p>
            <w:pPr>
              <w:pStyle w:val="TableParagraph"/>
              <w:widowControl w:val="false"/>
              <w:spacing w:lineRule="exact" w:line="233" w:before="136" w:after="0"/>
              <w:ind w:left="0" w:right="496" w:hanging="0"/>
              <w:jc w:val="right"/>
              <w:rPr>
                <w:sz w:val="22"/>
              </w:rPr>
            </w:pPr>
            <w:r>
              <w:rPr>
                <w:sz w:val="22"/>
              </w:rPr>
              <w:t>132,7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Aa</w:t>
            </w:r>
          </w:p>
        </w:tc>
        <w:tc>
          <w:tcPr>
            <w:tcW w:w="1880" w:type="dxa"/>
            <w:tcBorders/>
          </w:tcPr>
          <w:p>
            <w:pPr>
              <w:pStyle w:val="TableParagraph"/>
              <w:widowControl w:val="false"/>
              <w:spacing w:lineRule="exact" w:line="233" w:before="136" w:after="0"/>
              <w:ind w:left="497" w:right="0" w:hanging="0"/>
              <w:rPr>
                <w:sz w:val="22"/>
              </w:rPr>
            </w:pPr>
            <w:r>
              <w:rPr>
                <w:sz w:val="22"/>
              </w:rPr>
              <w:t>5.500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Ba</w:t>
            </w:r>
          </w:p>
        </w:tc>
        <w:tc>
          <w:tcPr>
            <w:tcW w:w="1553" w:type="dxa"/>
            <w:tcBorders/>
          </w:tcPr>
          <w:p>
            <w:pPr>
              <w:pStyle w:val="TableParagraph"/>
              <w:widowControl w:val="false"/>
              <w:spacing w:lineRule="exact" w:line="233" w:before="136" w:after="0"/>
              <w:ind w:left="0" w:right="48" w:hanging="0"/>
              <w:jc w:val="right"/>
              <w:rPr>
                <w:sz w:val="22"/>
              </w:rPr>
            </w:pPr>
            <w:r>
              <w:rPr>
                <w:sz w:val="22"/>
              </w:rPr>
              <w:t>10.206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Aa</w:t>
            </w:r>
          </w:p>
        </w:tc>
      </w:tr>
    </w:tbl>
    <w:p>
      <w:pPr>
        <w:pStyle w:val="Corpodotexto"/>
        <w:spacing w:before="3" w:after="0"/>
        <w:rPr>
          <w:sz w:val="12"/>
        </w:rPr>
      </w:pPr>
      <w:r>
        <w:rPr>
          <w:sz w:val="12"/>
        </w:rPr>
      </w:r>
    </w:p>
    <w:p>
      <w:pPr>
        <w:pStyle w:val="Corpodotexto"/>
        <w:spacing w:before="7" w:after="0"/>
        <w:rPr>
          <w:sz w:val="2"/>
        </w:rPr>
      </w:pPr>
      <w:r>
        <w:rPr>
          <w:sz w:val="2"/>
        </w:rPr>
      </w:r>
    </w:p>
    <w:tbl>
      <w:tblPr>
        <w:tblW w:w="9070" w:type="dxa"/>
        <w:jc w:val="left"/>
        <w:tblInd w:w="128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920"/>
        <w:gridCol w:w="1709"/>
        <w:gridCol w:w="1575"/>
        <w:gridCol w:w="2176"/>
        <w:gridCol w:w="1690"/>
      </w:tblGrid>
      <w:tr>
        <w:trPr>
          <w:trHeight w:val="373" w:hRule="atLeast"/>
        </w:trPr>
        <w:tc>
          <w:tcPr>
            <w:tcW w:w="1920" w:type="dxa"/>
            <w:tcBorders>
              <w:top w:val="single" w:sz="4" w:space="0" w:color="000000"/>
              <w:left w:val="single" w:sz="8" w:space="0" w:color="FFFFFF"/>
              <w:right w:val="single" w:sz="8" w:space="0" w:color="FFFFFF"/>
            </w:tcBorders>
          </w:tcPr>
          <w:p>
            <w:pPr>
              <w:pStyle w:val="TableParagraph"/>
              <w:widowControl w:val="false"/>
              <w:spacing w:lineRule="exact" w:line="214" w:before="139" w:after="0"/>
              <w:ind w:left="503" w:right="0" w:hanging="0"/>
              <w:rPr>
                <w:sz w:val="22"/>
              </w:rPr>
            </w:pPr>
            <w:r>
              <w:rPr>
                <w:sz w:val="22"/>
              </w:rPr>
              <w:t>Total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ano</w:t>
            </w:r>
          </w:p>
        </w:tc>
        <w:tc>
          <w:tcPr>
            <w:tcW w:w="1709" w:type="dxa"/>
            <w:vMerge w:val="restart"/>
            <w:tcBorders>
              <w:top w:val="single" w:sz="4" w:space="0" w:color="000000"/>
              <w:left w:val="single" w:sz="8" w:space="0" w:color="FFFFFF"/>
              <w:bottom w:val="single" w:sz="18" w:space="0" w:color="000000"/>
              <w:right w:val="single" w:sz="8" w:space="0" w:color="FFFFFF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575" w:type="dxa"/>
            <w:vMerge w:val="restart"/>
            <w:tcBorders>
              <w:top w:val="single" w:sz="4" w:space="0" w:color="000000"/>
              <w:left w:val="single" w:sz="8" w:space="0" w:color="FFFFFF"/>
              <w:bottom w:val="single" w:sz="18" w:space="0" w:color="000000"/>
              <w:right w:val="single" w:sz="8" w:space="0" w:color="FFFFFF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8" w:space="0" w:color="FFFFFF"/>
              <w:right w:val="single" w:sz="8" w:space="0" w:color="FFFFFF"/>
            </w:tcBorders>
          </w:tcPr>
          <w:p>
            <w:pPr>
              <w:pStyle w:val="TableParagraph"/>
              <w:widowControl w:val="false"/>
              <w:spacing w:lineRule="exact" w:line="214" w:before="139" w:after="0"/>
              <w:ind w:left="472" w:right="448" w:hanging="0"/>
              <w:jc w:val="center"/>
              <w:rPr>
                <w:sz w:val="22"/>
              </w:rPr>
            </w:pPr>
            <w:r>
              <w:rPr>
                <w:sz w:val="22"/>
              </w:rPr>
              <w:t>13.580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8" w:space="0" w:color="FFFFFF"/>
            </w:tcBorders>
          </w:tcPr>
          <w:p>
            <w:pPr>
              <w:pStyle w:val="TableParagraph"/>
              <w:widowControl w:val="false"/>
              <w:spacing w:lineRule="exact" w:line="214" w:before="139" w:after="0"/>
              <w:ind w:left="269" w:right="233" w:hanging="0"/>
              <w:jc w:val="center"/>
              <w:rPr>
                <w:sz w:val="22"/>
              </w:rPr>
            </w:pPr>
            <w:r>
              <w:rPr>
                <w:sz w:val="22"/>
              </w:rPr>
              <w:t>24.820</w:t>
            </w:r>
          </w:p>
        </w:tc>
      </w:tr>
      <w:tr>
        <w:trPr>
          <w:trHeight w:val="368" w:hRule="atLeast"/>
        </w:trPr>
        <w:tc>
          <w:tcPr>
            <w:tcW w:w="1920" w:type="dxa"/>
            <w:tcBorders>
              <w:left w:val="single" w:sz="8" w:space="0" w:color="FFFFFF"/>
              <w:bottom w:val="single" w:sz="18" w:space="0" w:color="000000"/>
              <w:right w:val="single" w:sz="8" w:space="0" w:color="FFFFFF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709" w:type="dxa"/>
            <w:vMerge w:val="continue"/>
            <w:tcBorders>
              <w:left w:val="single" w:sz="8" w:space="0" w:color="FFFFFF"/>
              <w:bottom w:val="single" w:sz="18" w:space="0" w:color="000000"/>
              <w:right w:val="single" w:sz="8" w:space="0" w:color="FFFFFF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75" w:type="dxa"/>
            <w:vMerge w:val="continue"/>
            <w:tcBorders>
              <w:left w:val="single" w:sz="8" w:space="0" w:color="FFFFFF"/>
              <w:bottom w:val="single" w:sz="18" w:space="0" w:color="000000"/>
              <w:right w:val="single" w:sz="8" w:space="0" w:color="FFFFFF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176" w:type="dxa"/>
            <w:tcBorders>
              <w:left w:val="single" w:sz="8" w:space="0" w:color="FFFFFF"/>
              <w:bottom w:val="single" w:sz="18" w:space="0" w:color="000000"/>
              <w:right w:val="single" w:sz="8" w:space="0" w:color="FFFFFF"/>
            </w:tcBorders>
          </w:tcPr>
          <w:p>
            <w:pPr>
              <w:pStyle w:val="TableParagraph"/>
              <w:widowControl w:val="false"/>
              <w:spacing w:lineRule="exact" w:line="226"/>
              <w:ind w:left="472" w:right="448" w:hanging="0"/>
              <w:jc w:val="center"/>
              <w:rPr>
                <w:sz w:val="22"/>
              </w:rPr>
            </w:pPr>
            <w:r>
              <w:rPr>
                <w:sz w:val="22"/>
              </w:rPr>
              <w:t>(CV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28,6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%)</w:t>
            </w:r>
          </w:p>
        </w:tc>
        <w:tc>
          <w:tcPr>
            <w:tcW w:w="1690" w:type="dxa"/>
            <w:tcBorders>
              <w:left w:val="single" w:sz="8" w:space="0" w:color="FFFFFF"/>
              <w:bottom w:val="single" w:sz="18" w:space="0" w:color="000000"/>
            </w:tcBorders>
          </w:tcPr>
          <w:p>
            <w:pPr>
              <w:pStyle w:val="TableParagraph"/>
              <w:widowControl w:val="false"/>
              <w:spacing w:lineRule="exact" w:line="226"/>
              <w:ind w:left="269" w:right="235" w:hanging="0"/>
              <w:jc w:val="center"/>
              <w:rPr>
                <w:sz w:val="22"/>
              </w:rPr>
            </w:pPr>
            <w:r>
              <w:rPr>
                <w:sz w:val="22"/>
              </w:rPr>
              <w:t>(CV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36,8%)</w:t>
            </w:r>
          </w:p>
        </w:tc>
      </w:tr>
    </w:tbl>
    <w:p>
      <w:pPr>
        <w:pStyle w:val="Corpodotexto"/>
        <w:spacing w:before="9" w:after="0"/>
        <w:rPr>
          <w:sz w:val="23"/>
        </w:rPr>
      </w:pPr>
      <w:r>
        <w:rPr>
          <w:sz w:val="23"/>
        </w:rPr>
      </w:r>
    </w:p>
    <w:p>
      <w:pPr>
        <w:pStyle w:val="Normal"/>
        <w:spacing w:before="1" w:after="0"/>
        <w:ind w:left="120" w:right="0" w:hanging="0"/>
        <w:jc w:val="both"/>
        <w:rPr>
          <w:sz w:val="16"/>
        </w:rPr>
      </w:pPr>
      <w:r>
        <w:rPr>
          <w:sz w:val="16"/>
        </w:rPr>
        <w:t>*Letras</w:t>
      </w:r>
      <w:r>
        <w:rPr>
          <w:spacing w:val="-1"/>
          <w:sz w:val="16"/>
        </w:rPr>
        <w:t xml:space="preserve"> </w:t>
      </w:r>
      <w:r>
        <w:rPr>
          <w:sz w:val="16"/>
        </w:rPr>
        <w:t>maiúsculas</w:t>
      </w:r>
      <w:r>
        <w:rPr>
          <w:spacing w:val="-1"/>
          <w:sz w:val="16"/>
        </w:rPr>
        <w:t xml:space="preserve"> </w:t>
      </w:r>
      <w:r>
        <w:rPr>
          <w:sz w:val="16"/>
        </w:rPr>
        <w:t>diferentes na</w:t>
      </w:r>
      <w:r>
        <w:rPr>
          <w:spacing w:val="-3"/>
          <w:sz w:val="16"/>
        </w:rPr>
        <w:t xml:space="preserve"> </w:t>
      </w:r>
      <w:r>
        <w:rPr>
          <w:sz w:val="16"/>
        </w:rPr>
        <w:t>linha</w:t>
      </w:r>
      <w:r>
        <w:rPr>
          <w:spacing w:val="-1"/>
          <w:sz w:val="16"/>
        </w:rPr>
        <w:t xml:space="preserve"> </w:t>
      </w:r>
      <w:r>
        <w:rPr>
          <w:sz w:val="16"/>
        </w:rPr>
        <w:t>e</w:t>
      </w:r>
      <w:r>
        <w:rPr>
          <w:spacing w:val="-3"/>
          <w:sz w:val="16"/>
        </w:rPr>
        <w:t xml:space="preserve"> </w:t>
      </w:r>
      <w:r>
        <w:rPr>
          <w:sz w:val="16"/>
        </w:rPr>
        <w:t>minúsculas</w:t>
      </w:r>
      <w:r>
        <w:rPr>
          <w:spacing w:val="-2"/>
          <w:sz w:val="16"/>
        </w:rPr>
        <w:t xml:space="preserve"> </w:t>
      </w:r>
      <w:r>
        <w:rPr>
          <w:sz w:val="16"/>
        </w:rPr>
        <w:t>na</w:t>
      </w:r>
      <w:r>
        <w:rPr>
          <w:spacing w:val="-1"/>
          <w:sz w:val="16"/>
        </w:rPr>
        <w:t xml:space="preserve"> </w:t>
      </w:r>
      <w:r>
        <w:rPr>
          <w:sz w:val="16"/>
        </w:rPr>
        <w:t>coluna</w:t>
      </w:r>
      <w:r>
        <w:rPr>
          <w:spacing w:val="-1"/>
          <w:sz w:val="16"/>
        </w:rPr>
        <w:t xml:space="preserve"> </w:t>
      </w:r>
      <w:r>
        <w:rPr>
          <w:sz w:val="16"/>
        </w:rPr>
        <w:t>apresentam</w:t>
      </w:r>
      <w:r>
        <w:rPr>
          <w:spacing w:val="-1"/>
          <w:sz w:val="16"/>
        </w:rPr>
        <w:t xml:space="preserve"> </w:t>
      </w:r>
      <w:r>
        <w:rPr>
          <w:sz w:val="16"/>
        </w:rPr>
        <w:t>diferença</w:t>
      </w:r>
      <w:r>
        <w:rPr>
          <w:spacing w:val="-1"/>
          <w:sz w:val="16"/>
        </w:rPr>
        <w:t xml:space="preserve"> </w:t>
      </w:r>
      <w:r>
        <w:rPr>
          <w:sz w:val="16"/>
        </w:rPr>
        <w:t>estatística</w:t>
      </w:r>
      <w:r>
        <w:rPr>
          <w:spacing w:val="-3"/>
          <w:sz w:val="16"/>
        </w:rPr>
        <w:t xml:space="preserve"> </w:t>
      </w:r>
      <w:r>
        <w:rPr>
          <w:sz w:val="16"/>
        </w:rPr>
        <w:t>pelo</w:t>
      </w:r>
      <w:r>
        <w:rPr>
          <w:spacing w:val="-1"/>
          <w:sz w:val="16"/>
        </w:rPr>
        <w:t xml:space="preserve"> </w:t>
      </w:r>
      <w:r>
        <w:rPr>
          <w:sz w:val="16"/>
        </w:rPr>
        <w:t>teste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tukey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5%.</w:t>
      </w:r>
    </w:p>
    <w:p>
      <w:pPr>
        <w:pStyle w:val="Corpodotexto"/>
        <w:rPr/>
      </w:pPr>
      <w:r>
        <w:rPr/>
      </w:r>
    </w:p>
    <w:p>
      <w:pPr>
        <w:sectPr>
          <w:type w:val="nextPage"/>
          <w:pgSz w:w="11906" w:h="16838"/>
          <w:pgMar w:left="1300" w:right="1240" w:gutter="0" w:header="0" w:top="132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otexto"/>
        <w:ind w:left="120" w:right="182" w:hanging="0"/>
        <w:jc w:val="both"/>
        <w:rPr/>
      </w:pPr>
      <w:r>
        <w:rPr/>
        <w:t>No segundo ano, em melhores condições ambientais, e com ajuste da fertilidade do solo a</w:t>
      </w:r>
      <w:r>
        <w:rPr>
          <w:spacing w:val="1"/>
        </w:rPr>
        <w:t xml:space="preserve"> </w:t>
      </w:r>
      <w:r>
        <w:rPr/>
        <w:t>produção total foi de 24.820 kg de matéria seca/ha. Isto evidencia a resposta à fertilidade do</w:t>
      </w:r>
      <w:r>
        <w:rPr>
          <w:spacing w:val="-59"/>
        </w:rPr>
        <w:t xml:space="preserve"> </w:t>
      </w:r>
      <w:r>
        <w:rPr/>
        <w:t>solo para alto potencial produtivo do pasto (P&lt;0,05), sendo o capim-tangola uma espécie</w:t>
      </w:r>
      <w:r>
        <w:rPr>
          <w:spacing w:val="1"/>
        </w:rPr>
        <w:t xml:space="preserve"> </w:t>
      </w:r>
      <w:r>
        <w:rPr/>
        <w:t>competidora</w:t>
      </w:r>
      <w:r>
        <w:rPr>
          <w:spacing w:val="-1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responde</w:t>
      </w:r>
      <w:r>
        <w:rPr>
          <w:spacing w:val="2"/>
        </w:rPr>
        <w:t xml:space="preserve"> </w:t>
      </w:r>
      <w:r>
        <w:rPr/>
        <w:t>fortemente</w:t>
      </w:r>
      <w:r>
        <w:rPr>
          <w:spacing w:val="-2"/>
        </w:rPr>
        <w:t xml:space="preserve"> </w:t>
      </w:r>
      <w:r>
        <w:rPr/>
        <w:t>à</w:t>
      </w:r>
      <w:r>
        <w:rPr>
          <w:spacing w:val="-1"/>
        </w:rPr>
        <w:t xml:space="preserve"> </w:t>
      </w:r>
      <w:r>
        <w:rPr/>
        <w:t>adubação.</w:t>
      </w:r>
    </w:p>
    <w:p>
      <w:pPr>
        <w:pStyle w:val="Corpodotexto"/>
        <w:spacing w:before="80" w:after="0"/>
        <w:ind w:left="120" w:right="185" w:hanging="0"/>
        <w:jc w:val="both"/>
        <w:rPr/>
      </w:pPr>
      <w:r>
        <w:rPr/>
        <w:t>Estudos conduzidos por VIANA et al. (2004) em solos de várzeas de Minas Gerais reportam</w:t>
      </w:r>
      <w:r>
        <w:rPr>
          <w:spacing w:val="1"/>
        </w:rPr>
        <w:t xml:space="preserve"> </w:t>
      </w:r>
      <w:r>
        <w:rPr/>
        <w:t>produção de pasto da ordem de 21,3 t/ha de matéria seca/ano. Quando consorciado com</w:t>
      </w:r>
      <w:r>
        <w:rPr>
          <w:spacing w:val="1"/>
        </w:rPr>
        <w:t xml:space="preserve"> </w:t>
      </w:r>
      <w:r>
        <w:rPr/>
        <w:t>amendoim forrageiro cv. Belmonte a produção foi de 26 t/ha de matéria seca. Nas estações</w:t>
      </w:r>
      <w:r>
        <w:rPr>
          <w:spacing w:val="1"/>
        </w:rPr>
        <w:t xml:space="preserve"> </w:t>
      </w:r>
      <w:r>
        <w:rPr/>
        <w:t>quentes do ano ocorre a maior concentração da produção com 60% do total de biomassa.</w:t>
      </w:r>
      <w:r>
        <w:rPr>
          <w:spacing w:val="1"/>
        </w:rPr>
        <w:t xml:space="preserve"> </w:t>
      </w:r>
      <w:r>
        <w:rPr/>
        <w:t>Como o clima da região apresenta outono quente, há produção de 30% do pasto neste</w:t>
      </w:r>
      <w:r>
        <w:rPr>
          <w:spacing w:val="1"/>
        </w:rPr>
        <w:t xml:space="preserve"> </w:t>
      </w:r>
      <w:r>
        <w:rPr/>
        <w:t>período em ambos os anos, evidenciando a característica de planta perene de verão, com a</w:t>
      </w:r>
      <w:r>
        <w:rPr>
          <w:spacing w:val="1"/>
        </w:rPr>
        <w:t xml:space="preserve"> </w:t>
      </w:r>
      <w:r>
        <w:rPr/>
        <w:t>temperatura</w:t>
      </w:r>
      <w:r>
        <w:rPr>
          <w:spacing w:val="-2"/>
        </w:rPr>
        <w:t xml:space="preserve"> </w:t>
      </w:r>
      <w:r>
        <w:rPr/>
        <w:t>ideal</w:t>
      </w:r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crescimento</w:t>
      </w:r>
      <w:r>
        <w:rPr>
          <w:spacing w:val="-1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21</w:t>
      </w:r>
      <w:r>
        <w:rPr>
          <w:spacing w:val="-2"/>
        </w:rPr>
        <w:t xml:space="preserve"> </w:t>
      </w:r>
      <w:r>
        <w:rPr/>
        <w:t>ºC</w:t>
      </w:r>
      <w:r>
        <w:rPr>
          <w:spacing w:val="-2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mínima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15</w:t>
      </w:r>
      <w:r>
        <w:rPr>
          <w:spacing w:val="-2"/>
        </w:rPr>
        <w:t xml:space="preserve"> </w:t>
      </w:r>
      <w:r>
        <w:rPr/>
        <w:t>ºC</w:t>
      </w:r>
      <w:r>
        <w:rPr>
          <w:spacing w:val="-3"/>
        </w:rPr>
        <w:t xml:space="preserve"> </w:t>
      </w:r>
      <w:r>
        <w:rPr/>
        <w:t>(ANDRADE et</w:t>
      </w:r>
      <w:r>
        <w:rPr>
          <w:spacing w:val="-1"/>
        </w:rPr>
        <w:t xml:space="preserve"> </w:t>
      </w:r>
      <w:r>
        <w:rPr/>
        <w:t>al.,</w:t>
      </w:r>
      <w:r>
        <w:rPr>
          <w:spacing w:val="-3"/>
        </w:rPr>
        <w:t xml:space="preserve"> </w:t>
      </w:r>
      <w:r>
        <w:rPr/>
        <w:t>2009).</w:t>
      </w:r>
    </w:p>
    <w:p>
      <w:pPr>
        <w:pStyle w:val="Corpodotexto"/>
        <w:rPr/>
      </w:pPr>
      <w:r>
        <w:rPr/>
      </w:r>
    </w:p>
    <w:p>
      <w:pPr>
        <w:pStyle w:val="Corpodotexto"/>
        <w:ind w:left="120" w:right="179" w:hanging="0"/>
        <w:jc w:val="both"/>
        <w:rPr/>
      </w:pPr>
      <w:r>
        <w:rPr>
          <w:rFonts w:ascii="Arial" w:hAnsi="Arial"/>
          <w:b/>
        </w:rPr>
        <w:t xml:space="preserve">Conclusão: </w:t>
      </w:r>
      <w:r>
        <w:rPr/>
        <w:t>A pastagem de capim-tangola apresenta maiores produções nos meses mais</w:t>
      </w:r>
      <w:r>
        <w:rPr>
          <w:spacing w:val="1"/>
        </w:rPr>
        <w:t xml:space="preserve"> </w:t>
      </w:r>
      <w:r>
        <w:rPr/>
        <w:t>quentes do ano e alcançou alto nível de produção anual. O capim-tangola constitui-se como</w:t>
      </w:r>
      <w:r>
        <w:rPr>
          <w:spacing w:val="1"/>
        </w:rPr>
        <w:t xml:space="preserve"> </w:t>
      </w:r>
      <w:r>
        <w:rPr/>
        <w:t>uma</w:t>
      </w:r>
      <w:r>
        <w:rPr>
          <w:spacing w:val="1"/>
        </w:rPr>
        <w:t xml:space="preserve"> </w:t>
      </w:r>
      <w:r>
        <w:rPr/>
        <w:t>alternativa</w:t>
      </w:r>
      <w:r>
        <w:rPr>
          <w:spacing w:val="1"/>
        </w:rPr>
        <w:t xml:space="preserve"> </w:t>
      </w:r>
      <w:r>
        <w:rPr/>
        <w:t>forrageira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pecuária</w:t>
      </w:r>
      <w:r>
        <w:rPr>
          <w:spacing w:val="1"/>
        </w:rPr>
        <w:t xml:space="preserve"> </w:t>
      </w:r>
      <w:r>
        <w:rPr/>
        <w:t>nas</w:t>
      </w:r>
      <w:r>
        <w:rPr>
          <w:spacing w:val="1"/>
        </w:rPr>
        <w:t xml:space="preserve"> </w:t>
      </w:r>
      <w:r>
        <w:rPr/>
        <w:t>várzeas</w:t>
      </w:r>
      <w:r>
        <w:rPr>
          <w:spacing w:val="1"/>
        </w:rPr>
        <w:t xml:space="preserve"> </w:t>
      </w:r>
      <w:r>
        <w:rPr/>
        <w:t>úmidas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Litoral</w:t>
      </w:r>
      <w:r>
        <w:rPr>
          <w:spacing w:val="1"/>
        </w:rPr>
        <w:t xml:space="preserve"> </w:t>
      </w:r>
      <w:r>
        <w:rPr/>
        <w:t>Sul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Santa</w:t>
      </w:r>
      <w:r>
        <w:rPr>
          <w:spacing w:val="1"/>
        </w:rPr>
        <w:t xml:space="preserve"> </w:t>
      </w:r>
      <w:r>
        <w:rPr/>
        <w:t>Catarina.</w:t>
      </w:r>
    </w:p>
    <w:p>
      <w:pPr>
        <w:pStyle w:val="Corpodotexto"/>
        <w:spacing w:before="1" w:after="0"/>
        <w:rPr/>
      </w:pPr>
      <w:r>
        <w:rPr/>
      </w:r>
    </w:p>
    <w:p>
      <w:pPr>
        <w:pStyle w:val="Corpodotexto"/>
        <w:ind w:left="120" w:right="184" w:hanging="0"/>
        <w:jc w:val="both"/>
        <w:rPr/>
      </w:pPr>
      <w:r>
        <w:rPr>
          <w:rFonts w:ascii="Arial" w:hAnsi="Arial"/>
          <w:b/>
        </w:rPr>
        <w:t>Agradecimento:</w:t>
      </w:r>
      <w:r>
        <w:rPr>
          <w:rFonts w:ascii="Arial" w:hAnsi="Arial"/>
          <w:b/>
          <w:spacing w:val="1"/>
        </w:rPr>
        <w:t xml:space="preserve"> </w:t>
      </w:r>
      <w:r>
        <w:rPr/>
        <w:t>Os</w:t>
      </w:r>
      <w:r>
        <w:rPr>
          <w:spacing w:val="1"/>
        </w:rPr>
        <w:t xml:space="preserve"> </w:t>
      </w:r>
      <w:r>
        <w:rPr/>
        <w:t>autores</w:t>
      </w:r>
      <w:r>
        <w:rPr>
          <w:spacing w:val="1"/>
        </w:rPr>
        <w:t xml:space="preserve"> </w:t>
      </w:r>
      <w:r>
        <w:rPr/>
        <w:t>agradecem</w:t>
      </w:r>
      <w:r>
        <w:rPr>
          <w:spacing w:val="1"/>
        </w:rPr>
        <w:t xml:space="preserve"> </w:t>
      </w:r>
      <w:r>
        <w:rPr/>
        <w:t>ao</w:t>
      </w:r>
      <w:r>
        <w:rPr>
          <w:spacing w:val="1"/>
        </w:rPr>
        <w:t xml:space="preserve"> </w:t>
      </w:r>
      <w:r>
        <w:rPr/>
        <w:t>Ministério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Agricultura,</w:t>
      </w:r>
      <w:r>
        <w:rPr>
          <w:spacing w:val="1"/>
        </w:rPr>
        <w:t xml:space="preserve"> </w:t>
      </w:r>
      <w:r>
        <w:rPr/>
        <w:t>Pecuária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Abastecimento</w:t>
      </w:r>
      <w:r>
        <w:rPr>
          <w:spacing w:val="-3"/>
        </w:rPr>
        <w:t xml:space="preserve"> </w:t>
      </w:r>
      <w:r>
        <w:rPr/>
        <w:t>pelo</w:t>
      </w:r>
      <w:r>
        <w:rPr>
          <w:spacing w:val="-2"/>
        </w:rPr>
        <w:t xml:space="preserve"> </w:t>
      </w:r>
      <w:r>
        <w:rPr/>
        <w:t>apoio</w:t>
      </w:r>
      <w:r>
        <w:rPr>
          <w:spacing w:val="-1"/>
        </w:rPr>
        <w:t xml:space="preserve"> </w:t>
      </w:r>
      <w:r>
        <w:rPr/>
        <w:t>financeiro firmado</w:t>
      </w:r>
      <w:r>
        <w:rPr>
          <w:spacing w:val="-3"/>
        </w:rPr>
        <w:t xml:space="preserve"> </w:t>
      </w:r>
      <w:r>
        <w:rPr/>
        <w:t>no</w:t>
      </w:r>
      <w:r>
        <w:rPr>
          <w:spacing w:val="-2"/>
        </w:rPr>
        <w:t xml:space="preserve"> </w:t>
      </w:r>
      <w:r>
        <w:rPr/>
        <w:t>convênio Epagri/MAPA</w:t>
      </w:r>
      <w:r>
        <w:rPr>
          <w:spacing w:val="-2"/>
        </w:rPr>
        <w:t xml:space="preserve"> </w:t>
      </w:r>
      <w:r>
        <w:rPr/>
        <w:t>858335/2017.</w:t>
      </w:r>
    </w:p>
    <w:p>
      <w:pPr>
        <w:pStyle w:val="Corpodotexto"/>
        <w:spacing w:before="10" w:after="0"/>
        <w:rPr>
          <w:sz w:val="21"/>
        </w:rPr>
      </w:pPr>
      <w:r>
        <w:rPr>
          <w:sz w:val="21"/>
        </w:rPr>
      </w:r>
    </w:p>
    <w:p>
      <w:pPr>
        <w:pStyle w:val="Normal"/>
        <w:spacing w:before="0" w:after="0"/>
        <w:ind w:left="120" w:right="0" w:hanging="0"/>
        <w:jc w:val="left"/>
        <w:rPr>
          <w:rFonts w:ascii="Arial" w:hAnsi="Arial"/>
          <w:b/>
          <w:b/>
          <w:sz w:val="22"/>
        </w:rPr>
      </w:pPr>
      <w:r>
        <w:rPr>
          <w:rFonts w:ascii="Arial" w:hAnsi="Arial"/>
          <w:b/>
          <w:sz w:val="22"/>
        </w:rPr>
        <w:t>Referências:</w:t>
      </w:r>
    </w:p>
    <w:p>
      <w:pPr>
        <w:pStyle w:val="Normal"/>
        <w:spacing w:before="1" w:after="0"/>
        <w:ind w:left="120" w:right="0" w:hanging="0"/>
        <w:jc w:val="both"/>
        <w:rPr>
          <w:sz w:val="24"/>
        </w:rPr>
      </w:pPr>
      <w:r>
        <w:rPr>
          <w:sz w:val="24"/>
        </w:rPr>
        <w:t>ANDRADE,</w:t>
      </w:r>
      <w:r>
        <w:rPr>
          <w:spacing w:val="31"/>
          <w:sz w:val="24"/>
        </w:rPr>
        <w:t xml:space="preserve"> </w:t>
      </w:r>
      <w:r>
        <w:rPr>
          <w:sz w:val="24"/>
        </w:rPr>
        <w:t>C.</w:t>
      </w:r>
      <w:r>
        <w:rPr>
          <w:spacing w:val="30"/>
          <w:sz w:val="24"/>
        </w:rPr>
        <w:t xml:space="preserve"> </w:t>
      </w:r>
      <w:r>
        <w:rPr>
          <w:sz w:val="24"/>
        </w:rPr>
        <w:t>M.</w:t>
      </w:r>
      <w:r>
        <w:rPr>
          <w:spacing w:val="32"/>
          <w:sz w:val="24"/>
        </w:rPr>
        <w:t xml:space="preserve"> </w:t>
      </w:r>
      <w:r>
        <w:rPr>
          <w:sz w:val="24"/>
        </w:rPr>
        <w:t>S.</w:t>
      </w:r>
      <w:r>
        <w:rPr>
          <w:spacing w:val="31"/>
          <w:sz w:val="24"/>
        </w:rPr>
        <w:t xml:space="preserve"> </w:t>
      </w:r>
      <w:r>
        <w:rPr>
          <w:sz w:val="24"/>
        </w:rPr>
        <w:t>de;</w:t>
      </w:r>
      <w:r>
        <w:rPr>
          <w:spacing w:val="32"/>
          <w:sz w:val="24"/>
        </w:rPr>
        <w:t xml:space="preserve"> </w:t>
      </w:r>
      <w:r>
        <w:rPr>
          <w:sz w:val="24"/>
        </w:rPr>
        <w:t>ASSIS,</w:t>
      </w:r>
      <w:r>
        <w:rPr>
          <w:spacing w:val="31"/>
          <w:sz w:val="24"/>
        </w:rPr>
        <w:t xml:space="preserve"> </w:t>
      </w:r>
      <w:r>
        <w:rPr>
          <w:sz w:val="24"/>
        </w:rPr>
        <w:t>G.</w:t>
      </w:r>
      <w:r>
        <w:rPr>
          <w:spacing w:val="32"/>
          <w:sz w:val="24"/>
        </w:rPr>
        <w:t xml:space="preserve"> </w:t>
      </w:r>
      <w:r>
        <w:rPr>
          <w:sz w:val="24"/>
        </w:rPr>
        <w:t>M.</w:t>
      </w:r>
      <w:r>
        <w:rPr>
          <w:spacing w:val="31"/>
          <w:sz w:val="24"/>
        </w:rPr>
        <w:t xml:space="preserve"> </w:t>
      </w:r>
      <w:r>
        <w:rPr>
          <w:sz w:val="24"/>
        </w:rPr>
        <w:t>L.</w:t>
      </w:r>
      <w:r>
        <w:rPr>
          <w:spacing w:val="30"/>
          <w:sz w:val="24"/>
        </w:rPr>
        <w:t xml:space="preserve"> </w:t>
      </w:r>
      <w:r>
        <w:rPr>
          <w:sz w:val="24"/>
        </w:rPr>
        <w:t>de;</w:t>
      </w:r>
      <w:r>
        <w:rPr>
          <w:spacing w:val="30"/>
          <w:sz w:val="24"/>
        </w:rPr>
        <w:t xml:space="preserve"> </w:t>
      </w:r>
      <w:r>
        <w:rPr>
          <w:sz w:val="24"/>
        </w:rPr>
        <w:t>FAZOLIN,</w:t>
      </w:r>
      <w:r>
        <w:rPr>
          <w:spacing w:val="34"/>
          <w:sz w:val="24"/>
        </w:rPr>
        <w:t xml:space="preserve"> </w:t>
      </w:r>
      <w:r>
        <w:rPr>
          <w:sz w:val="24"/>
        </w:rPr>
        <w:t>M.;</w:t>
      </w:r>
      <w:r>
        <w:rPr>
          <w:spacing w:val="31"/>
          <w:sz w:val="24"/>
        </w:rPr>
        <w:t xml:space="preserve"> </w:t>
      </w:r>
      <w:r>
        <w:rPr>
          <w:sz w:val="24"/>
        </w:rPr>
        <w:t>GONCALVES,</w:t>
      </w:r>
      <w:r>
        <w:rPr>
          <w:spacing w:val="32"/>
          <w:sz w:val="24"/>
        </w:rPr>
        <w:t xml:space="preserve"> </w:t>
      </w:r>
      <w:r>
        <w:rPr>
          <w:sz w:val="24"/>
        </w:rPr>
        <w:t>R.</w:t>
      </w:r>
      <w:r>
        <w:rPr>
          <w:spacing w:val="30"/>
          <w:sz w:val="24"/>
        </w:rPr>
        <w:t xml:space="preserve"> </w:t>
      </w:r>
      <w:r>
        <w:rPr>
          <w:sz w:val="24"/>
        </w:rPr>
        <w:t>C.;</w:t>
      </w:r>
    </w:p>
    <w:p>
      <w:pPr>
        <w:pStyle w:val="Normal"/>
        <w:spacing w:before="0" w:after="0"/>
        <w:ind w:left="120" w:right="177" w:hanging="0"/>
        <w:jc w:val="both"/>
        <w:rPr>
          <w:sz w:val="22"/>
        </w:rPr>
      </w:pPr>
      <w:r>
        <w:rPr>
          <w:sz w:val="24"/>
        </w:rPr>
        <w:t>SALES, M. F. L.; VALENTIM, J. F.;</w:t>
      </w:r>
      <w:r>
        <w:rPr>
          <w:spacing w:val="1"/>
          <w:sz w:val="24"/>
        </w:rPr>
        <w:t xml:space="preserve"> </w:t>
      </w:r>
      <w:r>
        <w:rPr>
          <w:sz w:val="24"/>
        </w:rPr>
        <w:t>ESTRELA, J. L. V</w:t>
      </w:r>
      <w:r>
        <w:rPr>
          <w:color w:val="3973AF"/>
          <w:sz w:val="24"/>
        </w:rPr>
        <w:t xml:space="preserve">. </w:t>
      </w:r>
      <w:r>
        <w:rPr>
          <w:sz w:val="22"/>
        </w:rPr>
        <w:t>Capim-tangola:</w:t>
      </w:r>
      <w:r>
        <w:rPr>
          <w:spacing w:val="1"/>
          <w:sz w:val="22"/>
        </w:rPr>
        <w:t xml:space="preserve"> </w:t>
      </w:r>
      <w:r>
        <w:rPr>
          <w:sz w:val="22"/>
        </w:rPr>
        <w:t>gramínea</w:t>
      </w:r>
      <w:r>
        <w:rPr>
          <w:spacing w:val="1"/>
          <w:sz w:val="22"/>
        </w:rPr>
        <w:t xml:space="preserve"> </w:t>
      </w:r>
      <w:r>
        <w:rPr>
          <w:sz w:val="22"/>
        </w:rPr>
        <w:t>forrageira recomendada para solos</w:t>
      </w:r>
      <w:r>
        <w:rPr>
          <w:spacing w:val="1"/>
          <w:sz w:val="22"/>
        </w:rPr>
        <w:t xml:space="preserve"> </w:t>
      </w:r>
      <w:r>
        <w:rPr>
          <w:sz w:val="22"/>
        </w:rPr>
        <w:t>de baixa</w:t>
      </w:r>
      <w:r>
        <w:rPr>
          <w:spacing w:val="1"/>
          <w:sz w:val="22"/>
        </w:rPr>
        <w:t xml:space="preserve"> </w:t>
      </w:r>
      <w:r>
        <w:rPr>
          <w:sz w:val="22"/>
        </w:rPr>
        <w:t>permeabilidade</w:t>
      </w:r>
      <w:r>
        <w:rPr>
          <w:spacing w:val="1"/>
          <w:sz w:val="22"/>
        </w:rPr>
        <w:t xml:space="preserve"> </w:t>
      </w:r>
      <w:r>
        <w:rPr>
          <w:sz w:val="22"/>
        </w:rPr>
        <w:t>do Acre.</w:t>
      </w:r>
      <w:r>
        <w:rPr>
          <w:spacing w:val="1"/>
          <w:sz w:val="22"/>
        </w:rPr>
        <w:t xml:space="preserve"> </w:t>
      </w:r>
      <w:r>
        <w:rPr>
          <w:sz w:val="22"/>
        </w:rPr>
        <w:t>Rio Branco,</w:t>
      </w:r>
      <w:r>
        <w:rPr>
          <w:spacing w:val="1"/>
          <w:sz w:val="22"/>
        </w:rPr>
        <w:t xml:space="preserve"> </w:t>
      </w:r>
      <w:r>
        <w:rPr>
          <w:sz w:val="22"/>
        </w:rPr>
        <w:t>AC:</w:t>
      </w:r>
      <w:r>
        <w:rPr>
          <w:spacing w:val="1"/>
          <w:sz w:val="22"/>
        </w:rPr>
        <w:t xml:space="preserve"> </w:t>
      </w:r>
      <w:r>
        <w:rPr>
          <w:sz w:val="22"/>
        </w:rPr>
        <w:t>Embrapa</w:t>
      </w:r>
      <w:r>
        <w:rPr>
          <w:spacing w:val="-1"/>
          <w:sz w:val="22"/>
        </w:rPr>
        <w:t xml:space="preserve"> </w:t>
      </w:r>
      <w:r>
        <w:rPr>
          <w:sz w:val="22"/>
        </w:rPr>
        <w:t>Acre,</w:t>
      </w:r>
      <w:r>
        <w:rPr>
          <w:spacing w:val="1"/>
          <w:sz w:val="22"/>
        </w:rPr>
        <w:t xml:space="preserve"> </w:t>
      </w:r>
      <w:r>
        <w:rPr>
          <w:sz w:val="22"/>
        </w:rPr>
        <w:t>2009. 63p.</w:t>
      </w:r>
      <w:r>
        <w:rPr>
          <w:spacing w:val="1"/>
          <w:sz w:val="22"/>
        </w:rPr>
        <w:t xml:space="preserve"> </w:t>
      </w:r>
      <w:r>
        <w:rPr>
          <w:sz w:val="22"/>
        </w:rPr>
        <w:t>ISBN 978-85-99190-13-5.</w:t>
      </w:r>
    </w:p>
    <w:p>
      <w:pPr>
        <w:pStyle w:val="Corpodotexto"/>
        <w:spacing w:before="3" w:after="0"/>
        <w:rPr>
          <w:sz w:val="25"/>
        </w:rPr>
      </w:pPr>
      <w:r>
        <w:rPr>
          <w:sz w:val="25"/>
        </w:rPr>
      </w:r>
    </w:p>
    <w:p>
      <w:pPr>
        <w:pStyle w:val="Corpodotexto"/>
        <w:spacing w:lineRule="auto" w:line="276"/>
        <w:ind w:left="120" w:right="186" w:hanging="0"/>
        <w:jc w:val="both"/>
        <w:rPr/>
      </w:pPr>
      <w:r>
        <w:rPr/>
        <w:t>BARTHRAM, G. T. Experimental Techniques: The HFRO Sward Stick. In: The Hill Farming</w:t>
      </w:r>
      <w:r>
        <w:rPr>
          <w:spacing w:val="1"/>
        </w:rPr>
        <w:t xml:space="preserve"> </w:t>
      </w:r>
      <w:r>
        <w:rPr/>
        <w:t>Research</w:t>
      </w:r>
      <w:r>
        <w:rPr>
          <w:spacing w:val="-2"/>
        </w:rPr>
        <w:t xml:space="preserve"> </w:t>
      </w:r>
      <w:r>
        <w:rPr/>
        <w:t>Organization. Biennial Report, HFRO, Midlothian, 1985.</w:t>
      </w:r>
      <w:r>
        <w:rPr>
          <w:spacing w:val="-1"/>
        </w:rPr>
        <w:t xml:space="preserve"> </w:t>
      </w:r>
      <w:r>
        <w:rPr/>
        <w:t>29-30p.</w:t>
      </w:r>
    </w:p>
    <w:p>
      <w:pPr>
        <w:pStyle w:val="Corpodotexto"/>
        <w:spacing w:before="1" w:after="0"/>
        <w:rPr>
          <w:sz w:val="25"/>
        </w:rPr>
      </w:pPr>
      <w:r>
        <w:rPr>
          <w:sz w:val="25"/>
        </w:rPr>
      </w:r>
    </w:p>
    <w:p>
      <w:pPr>
        <w:pStyle w:val="Corpodotexto"/>
        <w:ind w:left="120" w:right="0" w:hanging="0"/>
        <w:jc w:val="both"/>
        <w:rPr/>
      </w:pPr>
      <w:r>
        <w:rPr/>
        <w:t>EMPRESA</w:t>
      </w:r>
      <w:r>
        <w:rPr>
          <w:spacing w:val="10"/>
        </w:rPr>
        <w:t xml:space="preserve"> </w:t>
      </w:r>
      <w:r>
        <w:rPr/>
        <w:t>BRASILEIRA</w:t>
      </w:r>
      <w:r>
        <w:rPr>
          <w:spacing w:val="10"/>
        </w:rPr>
        <w:t xml:space="preserve"> </w:t>
      </w:r>
      <w:r>
        <w:rPr/>
        <w:t>DE</w:t>
      </w:r>
      <w:r>
        <w:rPr>
          <w:spacing w:val="7"/>
        </w:rPr>
        <w:t xml:space="preserve"> </w:t>
      </w:r>
      <w:r>
        <w:rPr/>
        <w:t>PESQUISA</w:t>
      </w:r>
      <w:r>
        <w:rPr>
          <w:spacing w:val="10"/>
        </w:rPr>
        <w:t xml:space="preserve"> </w:t>
      </w:r>
      <w:r>
        <w:rPr/>
        <w:t>AGROPECUÁRIA</w:t>
      </w:r>
      <w:r>
        <w:rPr>
          <w:spacing w:val="11"/>
        </w:rPr>
        <w:t xml:space="preserve"> </w:t>
      </w:r>
      <w:r>
        <w:rPr/>
        <w:t>-</w:t>
      </w:r>
      <w:r>
        <w:rPr>
          <w:spacing w:val="8"/>
        </w:rPr>
        <w:t xml:space="preserve"> </w:t>
      </w:r>
      <w:r>
        <w:rPr/>
        <w:t>EMBRAPA.</w:t>
      </w:r>
      <w:r>
        <w:rPr>
          <w:spacing w:val="10"/>
        </w:rPr>
        <w:t xml:space="preserve"> </w:t>
      </w:r>
      <w:r>
        <w:rPr/>
        <w:t>Sistema</w:t>
      </w:r>
      <w:r>
        <w:rPr>
          <w:spacing w:val="8"/>
        </w:rPr>
        <w:t xml:space="preserve"> </w:t>
      </w:r>
      <w:r>
        <w:rPr/>
        <w:t>brasileiro</w:t>
      </w:r>
    </w:p>
    <w:p>
      <w:pPr>
        <w:pStyle w:val="Corpodotexto"/>
        <w:spacing w:before="37" w:after="0"/>
        <w:ind w:left="120" w:right="0" w:hanging="0"/>
        <w:jc w:val="both"/>
        <w:rPr/>
      </w:pPr>
      <w:r>
        <w:rPr/>
        <w:t>de</w:t>
      </w:r>
      <w:r>
        <w:rPr>
          <w:spacing w:val="-4"/>
        </w:rPr>
        <w:t xml:space="preserve"> </w:t>
      </w:r>
      <w:r>
        <w:rPr/>
        <w:t>classificação</w:t>
      </w:r>
      <w:r>
        <w:rPr>
          <w:spacing w:val="-2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solos.</w:t>
      </w:r>
      <w:r>
        <w:rPr>
          <w:spacing w:val="-3"/>
        </w:rPr>
        <w:t xml:space="preserve"> </w:t>
      </w:r>
      <w:r>
        <w:rPr/>
        <w:t>3.ed.</w:t>
      </w:r>
      <w:r>
        <w:rPr>
          <w:spacing w:val="-2"/>
        </w:rPr>
        <w:t xml:space="preserve"> </w:t>
      </w:r>
      <w:r>
        <w:rPr/>
        <w:t>Brasília,</w:t>
      </w:r>
      <w:r>
        <w:rPr>
          <w:spacing w:val="-3"/>
        </w:rPr>
        <w:t xml:space="preserve"> </w:t>
      </w:r>
      <w:r>
        <w:rPr/>
        <w:t>2013.</w:t>
      </w:r>
      <w:r>
        <w:rPr>
          <w:spacing w:val="-2"/>
        </w:rPr>
        <w:t xml:space="preserve"> </w:t>
      </w:r>
      <w:r>
        <w:rPr/>
        <w:t>353p.</w:t>
      </w:r>
    </w:p>
    <w:p>
      <w:pPr>
        <w:pStyle w:val="Corpodotexto"/>
        <w:spacing w:before="5" w:after="0"/>
        <w:rPr>
          <w:sz w:val="28"/>
        </w:rPr>
      </w:pPr>
      <w:r>
        <w:rPr>
          <w:sz w:val="28"/>
        </w:rPr>
      </w:r>
    </w:p>
    <w:p>
      <w:pPr>
        <w:pStyle w:val="Corpodotexto"/>
        <w:spacing w:lineRule="auto" w:line="276"/>
        <w:ind w:left="120" w:right="183" w:hanging="0"/>
        <w:jc w:val="both"/>
        <w:rPr/>
      </w:pPr>
      <w:r>
        <w:rPr/>
        <w:t>SILVA, F. J. L.; AGOSTINI, J. A. E. Ocorrência de um híbrido de Brachiaria no Norte</w:t>
      </w:r>
      <w:r>
        <w:rPr>
          <w:spacing w:val="1"/>
        </w:rPr>
        <w:t xml:space="preserve"> </w:t>
      </w:r>
      <w:r>
        <w:rPr/>
        <w:t>Fluminense. In: REUNIÃO ANUAL DA SOCIEDADE BRASILEIRA DE ZOOTECNIA, 15.,</w:t>
      </w:r>
      <w:r>
        <w:rPr>
          <w:spacing w:val="1"/>
        </w:rPr>
        <w:t xml:space="preserve"> </w:t>
      </w:r>
      <w:r>
        <w:rPr/>
        <w:t>1978, Belém, PA.</w:t>
      </w:r>
      <w:r>
        <w:rPr>
          <w:spacing w:val="-1"/>
        </w:rPr>
        <w:t xml:space="preserve"> </w:t>
      </w:r>
      <w:r>
        <w:rPr/>
        <w:t>Anais... Belém,</w:t>
      </w:r>
      <w:r>
        <w:rPr>
          <w:spacing w:val="1"/>
        </w:rPr>
        <w:t xml:space="preserve"> </w:t>
      </w:r>
      <w:r>
        <w:rPr/>
        <w:t>PA: SBZ, 1978.</w:t>
      </w:r>
      <w:r>
        <w:rPr>
          <w:spacing w:val="-1"/>
        </w:rPr>
        <w:t xml:space="preserve"> </w:t>
      </w:r>
      <w:r>
        <w:rPr/>
        <w:t>p. 257-258.</w:t>
      </w:r>
    </w:p>
    <w:p>
      <w:pPr>
        <w:pStyle w:val="Corpodotexto"/>
        <w:spacing w:before="11" w:after="0"/>
        <w:rPr>
          <w:sz w:val="24"/>
        </w:rPr>
      </w:pPr>
      <w:r>
        <w:rPr>
          <w:sz w:val="24"/>
        </w:rPr>
      </w:r>
    </w:p>
    <w:p>
      <w:pPr>
        <w:pStyle w:val="Corpodotexto"/>
        <w:spacing w:lineRule="auto" w:line="276"/>
        <w:ind w:left="120" w:right="179" w:hanging="0"/>
        <w:jc w:val="both"/>
        <w:rPr/>
      </w:pPr>
      <w:r>
        <w:rPr/>
        <w:t>VIANA, M. C. M.; PURCINO, H. M. A.; MACÊDO, G. A. R. Consorciação do Arachis pintoi</w:t>
      </w:r>
      <w:r>
        <w:rPr>
          <w:spacing w:val="1"/>
        </w:rPr>
        <w:t xml:space="preserve"> </w:t>
      </w:r>
      <w:r>
        <w:rPr/>
        <w:t>com</w:t>
      </w:r>
      <w:r>
        <w:rPr>
          <w:spacing w:val="1"/>
        </w:rPr>
        <w:t xml:space="preserve"> </w:t>
      </w:r>
      <w:r>
        <w:rPr/>
        <w:t>capim-tangola</w:t>
      </w:r>
      <w:r>
        <w:rPr>
          <w:spacing w:val="1"/>
        </w:rPr>
        <w:t xml:space="preserve"> </w:t>
      </w:r>
      <w:r>
        <w:rPr/>
        <w:t>(Brachiaria</w:t>
      </w:r>
      <w:r>
        <w:rPr>
          <w:spacing w:val="1"/>
        </w:rPr>
        <w:t xml:space="preserve"> </w:t>
      </w:r>
      <w:r>
        <w:rPr/>
        <w:t>mutica</w:t>
      </w:r>
      <w:r>
        <w:rPr>
          <w:spacing w:val="1"/>
        </w:rPr>
        <w:t xml:space="preserve"> </w:t>
      </w:r>
      <w:r>
        <w:rPr/>
        <w:t>x</w:t>
      </w:r>
      <w:r>
        <w:rPr>
          <w:spacing w:val="1"/>
        </w:rPr>
        <w:t xml:space="preserve"> </w:t>
      </w:r>
      <w:r>
        <w:rPr/>
        <w:t>Brachiaria</w:t>
      </w:r>
      <w:r>
        <w:rPr>
          <w:spacing w:val="1"/>
        </w:rPr>
        <w:t xml:space="preserve"> </w:t>
      </w:r>
      <w:r>
        <w:rPr/>
        <w:t>radicans)</w:t>
      </w:r>
      <w:r>
        <w:rPr>
          <w:spacing w:val="1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área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várzea.</w:t>
      </w:r>
      <w:r>
        <w:rPr>
          <w:spacing w:val="1"/>
        </w:rPr>
        <w:t xml:space="preserve"> </w:t>
      </w:r>
      <w:r>
        <w:rPr/>
        <w:t>In:</w:t>
      </w:r>
      <w:r>
        <w:rPr>
          <w:spacing w:val="1"/>
        </w:rPr>
        <w:t xml:space="preserve"> </w:t>
      </w:r>
      <w:r>
        <w:rPr/>
        <w:t>REUNIÃO</w:t>
      </w:r>
      <w:r>
        <w:rPr>
          <w:spacing w:val="4"/>
        </w:rPr>
        <w:t xml:space="preserve"> </w:t>
      </w:r>
      <w:r>
        <w:rPr/>
        <w:t>ANUAL</w:t>
      </w:r>
      <w:r>
        <w:rPr>
          <w:spacing w:val="4"/>
        </w:rPr>
        <w:t xml:space="preserve"> </w:t>
      </w:r>
      <w:r>
        <w:rPr/>
        <w:t>DA</w:t>
      </w:r>
      <w:r>
        <w:rPr>
          <w:spacing w:val="2"/>
        </w:rPr>
        <w:t xml:space="preserve"> </w:t>
      </w:r>
      <w:r>
        <w:rPr/>
        <w:t>SOCIEDADE</w:t>
      </w:r>
      <w:r>
        <w:rPr>
          <w:spacing w:val="4"/>
        </w:rPr>
        <w:t xml:space="preserve"> </w:t>
      </w:r>
      <w:r>
        <w:rPr/>
        <w:t>BRASILEIRA</w:t>
      </w:r>
      <w:r>
        <w:rPr>
          <w:spacing w:val="4"/>
        </w:rPr>
        <w:t xml:space="preserve"> </w:t>
      </w:r>
      <w:r>
        <w:rPr/>
        <w:t>DE</w:t>
      </w:r>
      <w:r>
        <w:rPr>
          <w:spacing w:val="2"/>
        </w:rPr>
        <w:t xml:space="preserve"> </w:t>
      </w:r>
      <w:r>
        <w:rPr/>
        <w:t>ZOOTECNIA,</w:t>
      </w:r>
      <w:r>
        <w:rPr>
          <w:spacing w:val="6"/>
        </w:rPr>
        <w:t xml:space="preserve"> </w:t>
      </w:r>
      <w:r>
        <w:rPr/>
        <w:t>41.,</w:t>
      </w:r>
      <w:r>
        <w:rPr>
          <w:spacing w:val="4"/>
        </w:rPr>
        <w:t xml:space="preserve"> </w:t>
      </w:r>
      <w:r>
        <w:rPr/>
        <w:t>2004,</w:t>
      </w:r>
      <w:r>
        <w:rPr>
          <w:spacing w:val="4"/>
        </w:rPr>
        <w:t xml:space="preserve"> </w:t>
      </w:r>
      <w:r>
        <w:rPr/>
        <w:t>Campo</w:t>
      </w:r>
    </w:p>
    <w:p>
      <w:pPr>
        <w:pStyle w:val="Corpodotexto"/>
        <w:spacing w:lineRule="exact" w:line="250"/>
        <w:ind w:left="120" w:right="0" w:hanging="0"/>
        <w:jc w:val="both"/>
        <w:rPr/>
      </w:pPr>
      <w:r>
        <w:rPr/>
        <w:t>Grande,</w:t>
      </w:r>
      <w:r>
        <w:rPr>
          <w:spacing w:val="-3"/>
        </w:rPr>
        <w:t xml:space="preserve"> </w:t>
      </w:r>
      <w:r>
        <w:rPr/>
        <w:t>MS.</w:t>
      </w:r>
      <w:r>
        <w:rPr>
          <w:spacing w:val="-2"/>
        </w:rPr>
        <w:t xml:space="preserve"> </w:t>
      </w:r>
      <w:r>
        <w:rPr/>
        <w:t>Anais...</w:t>
      </w:r>
      <w:r>
        <w:rPr>
          <w:spacing w:val="-4"/>
        </w:rPr>
        <w:t xml:space="preserve"> </w:t>
      </w:r>
      <w:r>
        <w:rPr/>
        <w:t>Campo</w:t>
      </w:r>
      <w:r>
        <w:rPr>
          <w:spacing w:val="-1"/>
        </w:rPr>
        <w:t xml:space="preserve"> </w:t>
      </w:r>
      <w:r>
        <w:rPr/>
        <w:t>Grande,</w:t>
      </w:r>
      <w:r>
        <w:rPr>
          <w:spacing w:val="-2"/>
        </w:rPr>
        <w:t xml:space="preserve"> </w:t>
      </w:r>
      <w:r>
        <w:rPr/>
        <w:t>MS:</w:t>
      </w:r>
      <w:r>
        <w:rPr>
          <w:spacing w:val="-3"/>
        </w:rPr>
        <w:t xml:space="preserve"> </w:t>
      </w:r>
      <w:r>
        <w:rPr/>
        <w:t>SBZ;</w:t>
      </w:r>
      <w:r>
        <w:rPr>
          <w:spacing w:val="-2"/>
        </w:rPr>
        <w:t xml:space="preserve"> </w:t>
      </w:r>
      <w:r>
        <w:rPr/>
        <w:t>Embrapa</w:t>
      </w:r>
      <w:r>
        <w:rPr>
          <w:spacing w:val="-3"/>
        </w:rPr>
        <w:t xml:space="preserve"> </w:t>
      </w:r>
      <w:r>
        <w:rPr/>
        <w:t>Gado</w:t>
      </w:r>
      <w:r>
        <w:rPr>
          <w:spacing w:val="-5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Corte,</w:t>
      </w:r>
      <w:r>
        <w:rPr>
          <w:spacing w:val="-2"/>
        </w:rPr>
        <w:t xml:space="preserve"> </w:t>
      </w:r>
      <w:r>
        <w:rPr/>
        <w:t>2004.</w:t>
      </w:r>
      <w:r>
        <w:rPr>
          <w:spacing w:val="-5"/>
        </w:rPr>
        <w:t xml:space="preserve"> </w:t>
      </w:r>
      <w:r>
        <w:rPr/>
        <w:t>1</w:t>
      </w:r>
      <w:r>
        <w:rPr>
          <w:spacing w:val="-3"/>
        </w:rPr>
        <w:t xml:space="preserve"> </w:t>
      </w:r>
      <w:r>
        <w:rPr/>
        <w:t>CD-ROM.</w:t>
      </w:r>
    </w:p>
    <w:p>
      <w:pPr>
        <w:pStyle w:val="Corpodotexto"/>
        <w:spacing w:before="5" w:after="0"/>
        <w:rPr>
          <w:sz w:val="28"/>
        </w:rPr>
      </w:pPr>
      <w:r>
        <w:rPr>
          <w:sz w:val="28"/>
        </w:rPr>
      </w:r>
    </w:p>
    <w:p>
      <w:pPr>
        <w:pStyle w:val="Corpodotexto"/>
        <w:spacing w:lineRule="auto" w:line="276"/>
        <w:ind w:left="120" w:right="190" w:hanging="0"/>
        <w:jc w:val="both"/>
        <w:rPr/>
      </w:pPr>
      <w:r>
        <w:rPr/>
        <w:t>WILM, H.G.; COSTELLO, D.F.; KLIPPE, G.E. Estimating forage yield by the double sampling</w:t>
      </w:r>
      <w:r>
        <w:rPr>
          <w:spacing w:val="-59"/>
        </w:rPr>
        <w:t xml:space="preserve"> </w:t>
      </w:r>
      <w:r>
        <w:rPr/>
        <w:t>method.</w:t>
      </w:r>
      <w:r>
        <w:rPr>
          <w:spacing w:val="-1"/>
        </w:rPr>
        <w:t xml:space="preserve"> </w:t>
      </w:r>
      <w:r>
        <w:rPr/>
        <w:t>Journal</w:t>
      </w:r>
      <w:r>
        <w:rPr>
          <w:spacing w:val="-2"/>
        </w:rPr>
        <w:t xml:space="preserve"> </w:t>
      </w:r>
      <w:r>
        <w:rPr/>
        <w:t>of</w:t>
      </w:r>
      <w:r>
        <w:rPr>
          <w:spacing w:val="-1"/>
        </w:rPr>
        <w:t xml:space="preserve"> </w:t>
      </w:r>
      <w:r>
        <w:rPr/>
        <w:t>the</w:t>
      </w:r>
      <w:r>
        <w:rPr>
          <w:spacing w:val="-2"/>
        </w:rPr>
        <w:t xml:space="preserve"> </w:t>
      </w:r>
      <w:r>
        <w:rPr/>
        <w:t>American</w:t>
      </w:r>
      <w:r>
        <w:rPr>
          <w:spacing w:val="-1"/>
        </w:rPr>
        <w:t xml:space="preserve"> </w:t>
      </w:r>
      <w:r>
        <w:rPr/>
        <w:t>Society</w:t>
      </w:r>
      <w:r>
        <w:rPr>
          <w:spacing w:val="-2"/>
        </w:rPr>
        <w:t xml:space="preserve"> </w:t>
      </w:r>
      <w:r>
        <w:rPr/>
        <w:t>of Agronomy,</w:t>
      </w:r>
      <w:r>
        <w:rPr>
          <w:spacing w:val="-3"/>
        </w:rPr>
        <w:t xml:space="preserve"> </w:t>
      </w:r>
      <w:r>
        <w:rPr/>
        <w:t>v.36,</w:t>
      </w:r>
      <w:r>
        <w:rPr>
          <w:spacing w:val="-2"/>
        </w:rPr>
        <w:t xml:space="preserve"> </w:t>
      </w:r>
      <w:r>
        <w:rPr/>
        <w:t>n.1,</w:t>
      </w:r>
      <w:r>
        <w:rPr>
          <w:spacing w:val="-2"/>
        </w:rPr>
        <w:t xml:space="preserve"> </w:t>
      </w:r>
      <w:r>
        <w:rPr/>
        <w:t>p.194-203,</w:t>
      </w:r>
      <w:r>
        <w:rPr>
          <w:spacing w:val="-1"/>
        </w:rPr>
        <w:t xml:space="preserve"> </w:t>
      </w:r>
      <w:r>
        <w:rPr/>
        <w:t>1944.</w:t>
      </w:r>
    </w:p>
    <w:sectPr>
      <w:type w:val="nextPage"/>
      <w:pgSz w:w="11906" w:h="16838"/>
      <w:pgMar w:left="1300" w:right="1240" w:gutter="0" w:header="0" w:top="13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pt-PT" w:eastAsia="en-US" w:bidi="ar-SA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Ttulododocumento">
    <w:name w:val="Title"/>
    <w:basedOn w:val="Normal"/>
    <w:uiPriority w:val="1"/>
    <w:qFormat/>
    <w:pPr>
      <w:spacing w:before="91" w:after="0"/>
      <w:ind w:left="136" w:right="477" w:hanging="0"/>
      <w:jc w:val="center"/>
    </w:pPr>
    <w:rPr>
      <w:rFonts w:ascii="Arial" w:hAnsi="Arial" w:eastAsia="Arial" w:cs="Arial"/>
      <w:b/>
      <w:bCs/>
      <w:sz w:val="28"/>
      <w:szCs w:val="28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tiagobaldissera@epagri.sc.gov.br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LibreOffice/7.3.2.2$Windows_X86_64 LibreOffice_project/49f2b1bff42cfccbd8f788c8dc32c1c309559be0</Application>
  <AppVersion>15.0000</AppVersion>
  <Pages>3</Pages>
  <Words>1399</Words>
  <Characters>7480</Characters>
  <CharactersWithSpaces>8824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2023-10-27T12:11:43Z</dcterms:created>
  <dc:creator>CARLA LUCIANE LIMA</dc:creator>
  <dc:description/>
  <dc:language>pt-BR</dc:language>
  <cp:lastModifiedBy/>
  <dcterms:modified xsi:type="dcterms:W3CDTF">2023-10-27T12:11:43Z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2023-10-05T00:00:00Z</vt:filetime>
  </property>
  <property fmtid="{D5CDD505-2E9C-101B-9397-08002B2CF9AE}" pid="3" name="Creator">
    <vt:lpwstr>Writer</vt:lpwstr>
  </property>
  <property fmtid="{D5CDD505-2E9C-101B-9397-08002B2CF9AE}" pid="4" name="LastSaved">
    <vt:filetime>2023-10-05T00:00:00Z</vt:filetime>
  </property>
</Properties>
</file>