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5"/>
        <w:spacing w:lineRule="auto" w:line="276"/>
        <w:ind w:right="280" w:hanging="0"/>
        <w:jc w:val="center"/>
        <w:rPr>
          <w:lang w:val="pt-BR" w:eastAsia="zh-CN" w:bidi="hi-IN"/>
        </w:rPr>
      </w:pPr>
      <w:r>
        <w:rPr>
          <w:rFonts w:eastAsia="Arial" w:cs="Arial" w:ascii="Arial" w:hAnsi="Arial"/>
          <w:b/>
          <w:color w:val="000000"/>
          <w:sz w:val="28"/>
          <w:szCs w:val="28"/>
          <w:lang w:val="pt-BR" w:eastAsia="zh-CN" w:bidi="hi-IN"/>
        </w:rPr>
        <w:t xml:space="preserve">TOTAL OU PARCELADA: COMO A APLICAÇÃO DA ADUBAÇÃO NITROGENADA INTERFERE PRODUÇÃO DE FORRAGEM E CAPACIDADE DE SUPORTE EM PASTAGEM DE AZEVÉM- ANUAL SOB PASTEJO? </w:t>
      </w:r>
    </w:p>
    <w:p>
      <w:pPr>
        <w:pStyle w:val="LOnormal5"/>
        <w:spacing w:lineRule="auto" w:line="276"/>
        <w:ind w:right="280" w:hanging="0"/>
        <w:jc w:val="center"/>
        <w:rPr>
          <w:lang w:val="pt-BR" w:eastAsia="zh-CN" w:bidi="hi-IN"/>
        </w:rPr>
      </w:pPr>
      <w:r>
        <w:rPr>
          <w:lang w:val="pt-BR" w:eastAsia="zh-CN" w:bidi="hi-IN"/>
        </w:rPr>
      </w:r>
    </w:p>
    <w:p>
      <w:pPr>
        <w:pStyle w:val="Corpodotexto"/>
        <w:spacing w:lineRule="auto" w:line="276"/>
        <w:ind w:right="280" w:hanging="0"/>
        <w:jc w:val="center"/>
        <w:rPr>
          <w:b w:val="false"/>
          <w:b w:val="false"/>
          <w:lang w:val="pt-BR" w:eastAsia="zh-CN" w:bidi="hi-IN"/>
        </w:rPr>
      </w:pPr>
      <w:bookmarkStart w:id="0" w:name="docs-internal-guid-79626aa4-7fff-312e-99"/>
      <w:bookmarkEnd w:id="0"/>
      <w:r>
        <w:rPr>
          <w:rFonts w:eastAsia="Arial" w:cs="Arial" w:ascii="Arial;sans-serif" w:hAnsi="Arial;sans-serif"/>
          <w:b w:val="false"/>
          <w:i w:val="false"/>
          <w:caps w:val="false"/>
          <w:smallCaps w:val="false"/>
          <w:strike w:val="false"/>
          <w:dstrike w:val="false"/>
          <w:color w:val="000000"/>
          <w:sz w:val="20"/>
          <w:szCs w:val="28"/>
          <w:u w:val="none"/>
          <w:effect w:val="none"/>
          <w:shd w:fill="auto" w:val="clear"/>
          <w:lang w:val="pt-BR" w:eastAsia="zh-CN" w:bidi="hi-IN"/>
        </w:rPr>
        <w:t>Jaqueline Beatris Zanella</w:t>
      </w:r>
      <w:r>
        <w:rPr>
          <w:rFonts w:eastAsia="Arial" w:cs="Arial" w:ascii="Arial;sans-serif" w:hAnsi="Arial;sans-serif"/>
          <w:b w:val="false"/>
          <w:i w:val="false"/>
          <w:caps w:val="false"/>
          <w:smallCaps w:val="false"/>
          <w:strike w:val="false"/>
          <w:dstrike w:val="false"/>
          <w:color w:val="000000"/>
          <w:sz w:val="20"/>
          <w:szCs w:val="28"/>
          <w:u w:val="none"/>
          <w:effect w:val="none"/>
          <w:shd w:fill="auto" w:val="clear"/>
          <w:vertAlign w:val="superscript"/>
          <w:lang w:val="pt-BR" w:eastAsia="zh-CN" w:bidi="hi-IN"/>
        </w:rPr>
        <w:t>1</w:t>
      </w:r>
      <w:r>
        <w:rPr>
          <w:rFonts w:eastAsia="Arial" w:cs="Arial" w:ascii="Arial;sans-serif" w:hAnsi="Arial;sans-serif"/>
          <w:b w:val="false"/>
          <w:i w:val="false"/>
          <w:caps w:val="false"/>
          <w:smallCaps w:val="false"/>
          <w:strike w:val="false"/>
          <w:dstrike w:val="false"/>
          <w:color w:val="000000"/>
          <w:sz w:val="20"/>
          <w:szCs w:val="28"/>
          <w:u w:val="none"/>
          <w:effect w:val="none"/>
          <w:shd w:fill="auto" w:val="clear"/>
          <w:lang w:val="pt-BR" w:eastAsia="zh-CN" w:bidi="hi-IN"/>
        </w:rPr>
        <w:t xml:space="preserve">, </w:t>
      </w:r>
      <w:r>
        <w:rPr>
          <w:rFonts w:eastAsia="Arial" w:cs="Arial" w:ascii="Arial;sans-serif" w:hAnsi="Arial;sans-serif"/>
          <w:b w:val="false"/>
          <w:i w:val="false"/>
          <w:caps w:val="false"/>
          <w:smallCaps w:val="false"/>
          <w:color w:val="000000"/>
          <w:sz w:val="20"/>
          <w:szCs w:val="28"/>
          <w:u w:val="single"/>
          <w:shd w:fill="auto" w:val="clear"/>
          <w:lang w:val="pt-BR" w:eastAsia="zh-CN" w:bidi="hi-IN"/>
        </w:rPr>
        <w:t>Tiago Celso Baldisera</w:t>
      </w:r>
      <w:r>
        <w:rPr>
          <w:rFonts w:eastAsia="Arial" w:cs="Arial" w:ascii="Arial;sans-serif" w:hAnsi="Arial;sans-serif"/>
          <w:b w:val="false"/>
          <w:i w:val="false"/>
          <w:caps w:val="false"/>
          <w:smallCaps w:val="false"/>
          <w:strike w:val="false"/>
          <w:dstrike w:val="false"/>
          <w:color w:val="000000"/>
          <w:sz w:val="20"/>
          <w:szCs w:val="28"/>
          <w:u w:val="none"/>
          <w:effect w:val="none"/>
          <w:shd w:fill="auto" w:val="clear"/>
          <w:vertAlign w:val="superscript"/>
          <w:lang w:val="pt-BR" w:eastAsia="zh-CN" w:bidi="hi-IN"/>
        </w:rPr>
        <w:t>2</w:t>
      </w:r>
      <w:r>
        <w:rPr>
          <w:rFonts w:eastAsia="Arial" w:cs="Arial" w:ascii="Arial" w:hAnsi="Arial"/>
          <w:b/>
          <w:caps w:val="false"/>
          <w:smallCaps w:val="false"/>
          <w:strike w:val="false"/>
          <w:dstrike w:val="false"/>
          <w:color w:val="000000"/>
          <w:sz w:val="28"/>
          <w:szCs w:val="28"/>
          <w:u w:val="none"/>
          <w:effect w:val="none"/>
          <w:shd w:fill="auto" w:val="clear"/>
          <w:lang w:val="pt-BR" w:eastAsia="zh-CN" w:bidi="hi-IN"/>
        </w:rPr>
        <w:t xml:space="preserve"> </w:t>
      </w:r>
      <w:r>
        <w:rPr>
          <w:rFonts w:eastAsia="Arial" w:cs="Arial" w:ascii="Arial;sans-serif" w:hAnsi="Arial;sans-serif"/>
          <w:b w:val="false"/>
          <w:i w:val="false"/>
          <w:caps w:val="false"/>
          <w:smallCaps w:val="false"/>
          <w:strike w:val="false"/>
          <w:dstrike w:val="false"/>
          <w:color w:val="000000"/>
          <w:sz w:val="20"/>
          <w:szCs w:val="28"/>
          <w:u w:val="none"/>
          <w:effect w:val="none"/>
          <w:shd w:fill="auto" w:val="clear"/>
          <w:lang w:val="pt-BR" w:eastAsia="zh-CN" w:bidi="hi-IN"/>
        </w:rPr>
        <w:t>André Brugnara Soares</w:t>
      </w:r>
      <w:r>
        <w:rPr>
          <w:rFonts w:eastAsia="Arial" w:cs="Arial" w:ascii="Arial;sans-serif" w:hAnsi="Arial;sans-serif"/>
          <w:b w:val="false"/>
          <w:i w:val="false"/>
          <w:caps w:val="false"/>
          <w:smallCaps w:val="false"/>
          <w:strike w:val="false"/>
          <w:dstrike w:val="false"/>
          <w:color w:val="000000"/>
          <w:sz w:val="20"/>
          <w:szCs w:val="28"/>
          <w:u w:val="none"/>
          <w:effect w:val="none"/>
          <w:shd w:fill="auto" w:val="clear"/>
          <w:vertAlign w:val="superscript"/>
          <w:lang w:val="pt-BR" w:eastAsia="zh-CN" w:bidi="hi-IN"/>
        </w:rPr>
        <w:t>1</w:t>
      </w:r>
      <w:r>
        <w:rPr>
          <w:rFonts w:eastAsia="Arial" w:cs="Arial" w:ascii="Arial;sans-serif" w:hAnsi="Arial;sans-serif"/>
          <w:b w:val="false"/>
          <w:i w:val="false"/>
          <w:caps w:val="false"/>
          <w:smallCaps w:val="false"/>
          <w:strike w:val="false"/>
          <w:dstrike w:val="false"/>
          <w:color w:val="000000"/>
          <w:sz w:val="20"/>
          <w:szCs w:val="28"/>
          <w:u w:val="none"/>
          <w:effect w:val="none"/>
          <w:shd w:fill="auto" w:val="clear"/>
          <w:lang w:val="pt-BR" w:eastAsia="zh-CN" w:bidi="hi-IN"/>
        </w:rPr>
        <w:t>, Marlise Nara Ciotta</w:t>
      </w:r>
      <w:r>
        <w:rPr>
          <w:rFonts w:eastAsia="Arial" w:cs="Arial" w:ascii="Arial;sans-serif" w:hAnsi="Arial;sans-serif"/>
          <w:b w:val="false"/>
          <w:i w:val="false"/>
          <w:caps w:val="false"/>
          <w:smallCaps w:val="false"/>
          <w:strike w:val="false"/>
          <w:dstrike w:val="false"/>
          <w:color w:val="000000"/>
          <w:sz w:val="20"/>
          <w:szCs w:val="28"/>
          <w:u w:val="none"/>
          <w:effect w:val="none"/>
          <w:shd w:fill="auto" w:val="clear"/>
          <w:vertAlign w:val="superscript"/>
          <w:lang w:val="pt-BR" w:eastAsia="zh-CN" w:bidi="hi-IN"/>
        </w:rPr>
        <w:t>2</w:t>
      </w:r>
      <w:r>
        <w:rPr>
          <w:rFonts w:eastAsia="Arial" w:cs="Arial" w:ascii="Arial;sans-serif" w:hAnsi="Arial;sans-serif"/>
          <w:b w:val="false"/>
          <w:i w:val="false"/>
          <w:caps w:val="false"/>
          <w:smallCaps w:val="false"/>
          <w:strike w:val="false"/>
          <w:dstrike w:val="false"/>
          <w:color w:val="000000"/>
          <w:sz w:val="20"/>
          <w:szCs w:val="28"/>
          <w:u w:val="none"/>
          <w:effect w:val="none"/>
          <w:shd w:fill="auto" w:val="clear"/>
          <w:lang w:val="pt-BR" w:eastAsia="zh-CN" w:bidi="hi-IN"/>
        </w:rPr>
        <w:t>, Cassiano Eduardo Pinto</w:t>
      </w:r>
      <w:r>
        <w:rPr>
          <w:rFonts w:eastAsia="Arial" w:cs="Arial" w:ascii="Arial;sans-serif" w:hAnsi="Arial;sans-serif"/>
          <w:b w:val="false"/>
          <w:i w:val="false"/>
          <w:caps w:val="false"/>
          <w:smallCaps w:val="false"/>
          <w:strike w:val="false"/>
          <w:dstrike w:val="false"/>
          <w:color w:val="000000"/>
          <w:sz w:val="20"/>
          <w:szCs w:val="28"/>
          <w:u w:val="none"/>
          <w:effect w:val="none"/>
          <w:shd w:fill="auto" w:val="clear"/>
          <w:vertAlign w:val="superscript"/>
          <w:lang w:val="pt-BR" w:eastAsia="zh-CN" w:bidi="hi-IN"/>
        </w:rPr>
        <w:t>2</w:t>
      </w:r>
      <w:r>
        <w:rPr>
          <w:rFonts w:eastAsia="Arial" w:cs="Arial" w:ascii="Arial;sans-serif" w:hAnsi="Arial;sans-serif"/>
          <w:b w:val="false"/>
          <w:i w:val="false"/>
          <w:caps w:val="false"/>
          <w:smallCaps w:val="false"/>
          <w:strike w:val="false"/>
          <w:dstrike w:val="false"/>
          <w:color w:val="000000"/>
          <w:sz w:val="20"/>
          <w:szCs w:val="28"/>
          <w:u w:val="none"/>
          <w:effect w:val="none"/>
          <w:shd w:fill="auto" w:val="clear"/>
          <w:lang w:val="pt-BR" w:eastAsia="zh-CN" w:bidi="hi-IN"/>
        </w:rPr>
        <w:t>, Tássio Dresch Rech</w:t>
      </w:r>
      <w:r>
        <w:rPr>
          <w:rFonts w:eastAsia="Arial" w:cs="Arial" w:ascii="Arial;sans-serif" w:hAnsi="Arial;sans-serif"/>
          <w:b w:val="false"/>
          <w:i w:val="false"/>
          <w:caps w:val="false"/>
          <w:smallCaps w:val="false"/>
          <w:strike w:val="false"/>
          <w:dstrike w:val="false"/>
          <w:color w:val="000000"/>
          <w:sz w:val="20"/>
          <w:szCs w:val="28"/>
          <w:u w:val="none"/>
          <w:effect w:val="none"/>
          <w:shd w:fill="auto" w:val="clear"/>
          <w:vertAlign w:val="superscript"/>
          <w:lang w:val="pt-BR" w:eastAsia="zh-CN" w:bidi="hi-IN"/>
        </w:rPr>
        <w:t>2</w:t>
      </w:r>
      <w:r>
        <w:rPr>
          <w:rFonts w:eastAsia="Arial" w:cs="Arial" w:ascii="Arial;sans-serif" w:hAnsi="Arial;sans-serif"/>
          <w:b w:val="false"/>
          <w:i w:val="false"/>
          <w:caps w:val="false"/>
          <w:smallCaps w:val="false"/>
          <w:strike w:val="false"/>
          <w:dstrike w:val="false"/>
          <w:color w:val="000000"/>
          <w:sz w:val="20"/>
          <w:szCs w:val="28"/>
          <w:u w:val="none"/>
          <w:effect w:val="none"/>
          <w:shd w:fill="auto" w:val="clear"/>
          <w:lang w:val="pt-BR" w:eastAsia="zh-CN" w:bidi="hi-IN"/>
        </w:rPr>
        <w:t>, Fabio Cervo Garagorry</w:t>
      </w:r>
      <w:r>
        <w:rPr>
          <w:rFonts w:eastAsia="Arial" w:cs="Arial" w:ascii="Arial;sans-serif" w:hAnsi="Arial;sans-serif"/>
          <w:b w:val="false"/>
          <w:i w:val="false"/>
          <w:caps w:val="false"/>
          <w:smallCaps w:val="false"/>
          <w:strike w:val="false"/>
          <w:dstrike w:val="false"/>
          <w:color w:val="000000"/>
          <w:sz w:val="20"/>
          <w:szCs w:val="28"/>
          <w:u w:val="none"/>
          <w:effect w:val="none"/>
          <w:shd w:fill="auto" w:val="clear"/>
          <w:vertAlign w:val="superscript"/>
          <w:lang w:val="pt-BR" w:eastAsia="zh-CN" w:bidi="hi-IN"/>
        </w:rPr>
        <w:t>3</w:t>
      </w:r>
    </w:p>
    <w:p>
      <w:pPr>
        <w:pStyle w:val="Corpodotexto"/>
        <w:rPr>
          <w:lang w:val="pt-BR" w:eastAsia="zh-CN" w:bidi="hi-IN"/>
        </w:rPr>
      </w:pPr>
      <w:r>
        <w:rPr>
          <w:b w:val="false"/>
          <w:lang w:val="pt-BR" w:eastAsia="zh-CN" w:bidi="hi-IN"/>
        </w:rPr>
        <w:br/>
      </w:r>
      <w:r>
        <w:rPr>
          <w:rFonts w:ascii="Arial;sans-serif" w:hAnsi="Arial;sans-serif"/>
          <w:b w:val="false"/>
          <w:i w:val="false"/>
          <w:caps w:val="false"/>
          <w:smallCaps w:val="false"/>
          <w:strike w:val="false"/>
          <w:dstrike w:val="false"/>
          <w:color w:val="000000"/>
          <w:sz w:val="20"/>
          <w:u w:val="none"/>
          <w:effect w:val="none"/>
          <w:shd w:fill="auto" w:val="clear"/>
          <w:vertAlign w:val="superscript"/>
          <w:lang w:val="pt-BR" w:eastAsia="zh-CN" w:bidi="hi-IN"/>
        </w:rPr>
        <w:t>1</w:t>
      </w:r>
      <w:r>
        <w:rPr>
          <w:rFonts w:ascii="Arial;sans-serif" w:hAnsi="Arial;sans-serif"/>
          <w:b w:val="false"/>
          <w:i w:val="false"/>
          <w:caps w:val="false"/>
          <w:smallCaps w:val="false"/>
          <w:strike w:val="false"/>
          <w:dstrike w:val="false"/>
          <w:color w:val="000000"/>
          <w:sz w:val="20"/>
          <w:u w:val="none"/>
          <w:effect w:val="none"/>
          <w:shd w:fill="auto" w:val="clear"/>
          <w:lang w:val="pt-BR" w:eastAsia="zh-CN" w:bidi="hi-IN"/>
        </w:rPr>
        <w:t xml:space="preserve">Universidade Tecnológica Federal do Paraná, </w:t>
      </w:r>
      <w:r>
        <w:rPr>
          <w:rFonts w:ascii="Arial;sans-serif" w:hAnsi="Arial;sans-serif"/>
          <w:b w:val="false"/>
          <w:i w:val="false"/>
          <w:caps w:val="false"/>
          <w:smallCaps w:val="false"/>
          <w:strike w:val="false"/>
          <w:dstrike w:val="false"/>
          <w:color w:val="000000"/>
          <w:sz w:val="20"/>
          <w:u w:val="none"/>
          <w:effect w:val="none"/>
          <w:shd w:fill="auto" w:val="clear"/>
          <w:vertAlign w:val="superscript"/>
          <w:lang w:val="pt-BR" w:eastAsia="zh-CN" w:bidi="hi-IN"/>
        </w:rPr>
        <w:t>2</w:t>
      </w:r>
      <w:r>
        <w:rPr>
          <w:b w:val="false"/>
          <w:caps w:val="false"/>
          <w:smallCaps w:val="false"/>
          <w:strike w:val="false"/>
          <w:dstrike w:val="false"/>
          <w:color w:val="000000"/>
          <w:u w:val="none"/>
          <w:effect w:val="none"/>
          <w:shd w:fill="auto" w:val="clear"/>
          <w:lang w:val="pt-BR" w:eastAsia="zh-CN" w:bidi="hi-IN"/>
        </w:rPr>
        <w:t xml:space="preserve"> </w:t>
      </w:r>
      <w:r>
        <w:rPr>
          <w:rFonts w:ascii="Arial;sans-serif" w:hAnsi="Arial;sans-serif"/>
          <w:b w:val="false"/>
          <w:i w:val="false"/>
          <w:caps w:val="false"/>
          <w:smallCaps w:val="false"/>
          <w:strike w:val="false"/>
          <w:dstrike w:val="false"/>
          <w:color w:val="000000"/>
          <w:sz w:val="20"/>
          <w:u w:val="none"/>
          <w:effect w:val="none"/>
          <w:shd w:fill="auto" w:val="clear"/>
          <w:lang w:val="pt-BR" w:eastAsia="zh-CN" w:bidi="hi-IN"/>
        </w:rPr>
        <w:t xml:space="preserve">Estação Experimental de Lages, Empresa de Pesquisa Agropecuária e Extensão Rural, </w:t>
      </w:r>
      <w:r>
        <w:rPr>
          <w:rFonts w:ascii="Arial;sans-serif" w:hAnsi="Arial;sans-serif"/>
          <w:b w:val="false"/>
          <w:i w:val="false"/>
          <w:caps w:val="false"/>
          <w:smallCaps w:val="false"/>
          <w:strike w:val="false"/>
          <w:dstrike w:val="false"/>
          <w:color w:val="000000"/>
          <w:sz w:val="20"/>
          <w:u w:val="none"/>
          <w:effect w:val="none"/>
          <w:shd w:fill="auto" w:val="clear"/>
          <w:vertAlign w:val="superscript"/>
          <w:lang w:val="pt-BR" w:eastAsia="zh-CN" w:bidi="hi-IN"/>
        </w:rPr>
        <w:t>3</w:t>
      </w:r>
      <w:r>
        <w:rPr>
          <w:rFonts w:ascii="Arial;sans-serif" w:hAnsi="Arial;sans-serif"/>
          <w:b w:val="false"/>
          <w:i w:val="false"/>
          <w:caps w:val="false"/>
          <w:smallCaps w:val="false"/>
          <w:strike w:val="false"/>
          <w:dstrike w:val="false"/>
          <w:color w:val="000000"/>
          <w:sz w:val="20"/>
          <w:u w:val="none"/>
          <w:effect w:val="none"/>
          <w:shd w:fill="auto" w:val="clear"/>
          <w:lang w:val="pt-BR" w:eastAsia="zh-CN" w:bidi="hi-IN"/>
        </w:rPr>
        <w:t>Embrapa Pecuária Sul, Bagé</w:t>
      </w:r>
      <w:r>
        <w:rPr>
          <w:rFonts w:ascii="Times New Roman;serif" w:hAnsi="Times New Roman;serif"/>
          <w:b w:val="false"/>
          <w:i w:val="false"/>
          <w:caps w:val="false"/>
          <w:smallCaps w:val="false"/>
          <w:strike w:val="false"/>
          <w:dstrike w:val="false"/>
          <w:color w:val="000000"/>
          <w:sz w:val="20"/>
          <w:u w:val="none"/>
          <w:effect w:val="none"/>
          <w:shd w:fill="auto" w:val="clear"/>
          <w:lang w:val="pt-BR" w:eastAsia="zh-CN" w:bidi="hi-IN"/>
        </w:rPr>
        <w:t xml:space="preserve">. </w:t>
      </w:r>
      <w:r>
        <w:rPr>
          <w:rFonts w:ascii="Arial;sans-serif" w:hAnsi="Arial;sans-serif"/>
          <w:b w:val="false"/>
          <w:i w:val="false"/>
          <w:caps w:val="false"/>
          <w:smallCaps w:val="false"/>
          <w:strike w:val="false"/>
          <w:dstrike w:val="false"/>
          <w:color w:val="000000"/>
          <w:sz w:val="20"/>
          <w:u w:val="none"/>
          <w:effect w:val="none"/>
          <w:shd w:fill="auto" w:val="clear"/>
          <w:lang w:val="pt-BR" w:eastAsia="zh-CN" w:bidi="hi-IN"/>
        </w:rPr>
        <w:t>E-mail: tiagobaldissera@epagri.sc.gov.br</w:t>
      </w:r>
      <w:r>
        <w:rPr>
          <w:lang w:val="pt-BR" w:eastAsia="zh-CN" w:bidi="hi-IN"/>
        </w:rPr>
        <w:t xml:space="preserve"> </w:t>
      </w:r>
    </w:p>
    <w:p>
      <w:pPr>
        <w:pStyle w:val="LOnormal5"/>
        <w:ind w:right="284" w:hanging="0"/>
        <w:jc w:val="center"/>
        <w:rPr>
          <w:rFonts w:ascii="Arial" w:hAnsi="Arial" w:eastAsia="Arial" w:cs="Arial"/>
          <w:color w:val="000000"/>
          <w:sz w:val="20"/>
          <w:szCs w:val="20"/>
          <w:vertAlign w:val="superscript"/>
          <w:lang w:val="pt-BR" w:eastAsia="zh-CN" w:bidi="hi-IN"/>
        </w:rPr>
      </w:pPr>
      <w:r>
        <w:rPr>
          <w:rFonts w:eastAsia="Arial" w:cs="Arial" w:ascii="Arial" w:hAnsi="Arial"/>
          <w:color w:val="000000"/>
          <w:sz w:val="20"/>
          <w:szCs w:val="20"/>
          <w:vertAlign w:val="superscript"/>
          <w:lang w:val="pt-BR" w:eastAsia="zh-CN" w:bidi="hi-IN"/>
        </w:rPr>
      </w:r>
    </w:p>
    <w:p>
      <w:pPr>
        <w:pStyle w:val="LOnormal5"/>
        <w:jc w:val="both"/>
        <w:rPr>
          <w:lang w:val="pt-BR" w:eastAsia="zh-CN" w:bidi="hi-IN"/>
        </w:rPr>
      </w:pPr>
      <w:r>
        <w:rPr>
          <w:rFonts w:eastAsia="Arial" w:cs="Arial" w:ascii="Arial" w:hAnsi="Arial"/>
          <w:b/>
          <w:color w:val="000000"/>
          <w:sz w:val="22"/>
          <w:szCs w:val="22"/>
          <w:lang w:val="pt-BR" w:eastAsia="zh-CN" w:bidi="hi-IN"/>
        </w:rPr>
        <w:t>Contribuição para a sociedade</w:t>
      </w:r>
      <w:r>
        <w:rPr>
          <w:rFonts w:eastAsia="Arial" w:cs="Arial" w:ascii="Arial" w:hAnsi="Arial"/>
          <w:color w:val="000000"/>
          <w:sz w:val="22"/>
          <w:szCs w:val="22"/>
          <w:lang w:val="pt-BR" w:eastAsia="zh-CN" w:bidi="hi-IN"/>
        </w:rPr>
        <w:t>:</w:t>
      </w:r>
      <w:r>
        <w:rPr>
          <w:rFonts w:eastAsia="Cambria" w:cs="Cambria" w:ascii="Cambria" w:hAnsi="Cambria"/>
          <w:lang w:val="pt-BR" w:eastAsia="zh-CN" w:bidi="hi-IN"/>
        </w:rPr>
        <w:t xml:space="preserve"> </w:t>
      </w:r>
      <w:r>
        <w:rPr>
          <w:rFonts w:eastAsia="Arial" w:cs="Arial" w:ascii="Arial" w:hAnsi="Arial"/>
          <w:color w:val="000000"/>
          <w:sz w:val="22"/>
          <w:szCs w:val="22"/>
          <w:lang w:val="pt-BR" w:eastAsia="zh-CN" w:bidi="hi-IN"/>
        </w:rPr>
        <w:t>O nitrogênio é um dos nutrientes de maior impacto sobre a produção de forragem. Deste modo, determinar a melhor forma de aplicação deste é de fundamental importância para garantir melhor aproveitamento do nutriente, aumentar a produtividade, diminuir perdas e garantir o retorno do investimento. Neste trabalho, foi avaliado o manejo da adubação nitrogenada no azevém-anual, aplicado em dose única no perfilhamento, ou fracionado em quatro aplicações, além do tratamento sem adubação nitrogenada. A aplicação do nitrogênio acelerou o crescimento inicial do azevém-anual, antecipando a entrada do primeiro pastejo e manteve o crescimento de forragem proporcionando tempo de ocupação médio de 120 dias com quase 6 pastejos. Independentemente da forma de aplicação, houve incremento da produção total de forragem, com média de produção de 7,9 toneladas de massa seca por hectare.</w:t>
      </w:r>
    </w:p>
    <w:p>
      <w:pPr>
        <w:pStyle w:val="LOnormal5"/>
        <w:jc w:val="both"/>
        <w:rPr>
          <w:rFonts w:ascii="Arial" w:hAnsi="Arial" w:eastAsia="Arial" w:cs="Arial"/>
          <w:color w:val="000000"/>
          <w:sz w:val="22"/>
          <w:szCs w:val="22"/>
          <w:lang w:val="pt-BR" w:eastAsia="zh-CN" w:bidi="hi-IN"/>
        </w:rPr>
      </w:pPr>
      <w:r>
        <w:rPr>
          <w:rFonts w:eastAsia="Arial" w:cs="Arial" w:ascii="Arial" w:hAnsi="Arial"/>
          <w:color w:val="000000"/>
          <w:sz w:val="22"/>
          <w:szCs w:val="22"/>
          <w:lang w:val="pt-BR" w:eastAsia="zh-CN" w:bidi="hi-IN"/>
        </w:rPr>
      </w:r>
    </w:p>
    <w:p>
      <w:pPr>
        <w:pStyle w:val="LOnormal5"/>
        <w:jc w:val="both"/>
        <w:rPr>
          <w:lang w:val="pt-BR" w:eastAsia="zh-CN" w:bidi="hi-IN"/>
        </w:rPr>
      </w:pPr>
      <w:r>
        <w:rPr>
          <w:rFonts w:eastAsia="Arial" w:cs="Arial" w:ascii="Arial" w:hAnsi="Arial"/>
          <w:b/>
          <w:color w:val="000000"/>
          <w:sz w:val="22"/>
          <w:szCs w:val="22"/>
          <w:lang w:val="pt-BR" w:eastAsia="zh-CN" w:bidi="hi-IN"/>
        </w:rPr>
        <w:t>Palavras-chave</w:t>
      </w:r>
      <w:r>
        <w:rPr>
          <w:rFonts w:eastAsia="Arial" w:cs="Arial" w:ascii="Arial" w:hAnsi="Arial"/>
          <w:color w:val="000000"/>
          <w:sz w:val="22"/>
          <w:szCs w:val="22"/>
          <w:lang w:val="pt-BR" w:eastAsia="zh-CN" w:bidi="hi-IN"/>
        </w:rPr>
        <w:t xml:space="preserve">: Manejo de adubação; </w:t>
      </w:r>
      <w:r>
        <w:rPr>
          <w:rFonts w:eastAsia="Arial" w:cs="Arial" w:ascii="Arial" w:hAnsi="Arial"/>
          <w:i/>
          <w:color w:val="000000"/>
          <w:sz w:val="22"/>
          <w:szCs w:val="22"/>
          <w:lang w:val="pt-BR" w:eastAsia="zh-CN" w:bidi="hi-IN"/>
        </w:rPr>
        <w:t>Lolium multiflorum</w:t>
      </w:r>
      <w:r>
        <w:rPr>
          <w:rFonts w:eastAsia="Arial" w:cs="Arial" w:ascii="Arial" w:hAnsi="Arial"/>
          <w:color w:val="000000"/>
          <w:sz w:val="22"/>
          <w:szCs w:val="22"/>
          <w:lang w:val="pt-BR" w:eastAsia="zh-CN" w:bidi="hi-IN"/>
        </w:rPr>
        <w:t xml:space="preserve"> Lam.; Uréia; Forragem. </w:t>
      </w:r>
    </w:p>
    <w:p>
      <w:pPr>
        <w:pStyle w:val="LOnormal5"/>
        <w:jc w:val="both"/>
        <w:rPr>
          <w:rFonts w:ascii="Arial" w:hAnsi="Arial" w:eastAsia="Arial" w:cs="Arial"/>
          <w:color w:val="000000"/>
          <w:sz w:val="22"/>
          <w:szCs w:val="22"/>
          <w:lang w:val="pt-BR" w:eastAsia="zh-CN" w:bidi="hi-IN"/>
        </w:rPr>
      </w:pPr>
      <w:r>
        <w:rPr>
          <w:rFonts w:eastAsia="Arial" w:cs="Arial" w:ascii="Arial" w:hAnsi="Arial"/>
          <w:color w:val="000000"/>
          <w:sz w:val="22"/>
          <w:szCs w:val="22"/>
          <w:lang w:val="pt-BR" w:eastAsia="zh-CN" w:bidi="hi-IN"/>
        </w:rPr>
      </w:r>
    </w:p>
    <w:p>
      <w:pPr>
        <w:pStyle w:val="LOnormal5"/>
        <w:jc w:val="both"/>
        <w:rPr>
          <w:lang w:val="pt-BR" w:eastAsia="zh-CN" w:bidi="hi-IN"/>
        </w:rPr>
      </w:pPr>
      <w:r>
        <w:rPr>
          <w:rFonts w:eastAsia="Arial" w:cs="Arial" w:ascii="Arial" w:hAnsi="Arial"/>
          <w:b/>
          <w:color w:val="000000"/>
          <w:sz w:val="22"/>
          <w:szCs w:val="22"/>
          <w:lang w:val="pt-BR" w:eastAsia="zh-CN" w:bidi="hi-IN"/>
        </w:rPr>
        <w:t>Introdução:</w:t>
      </w:r>
      <w:r>
        <w:rPr>
          <w:rFonts w:eastAsia="Arial" w:cs="Arial" w:ascii="Arial" w:hAnsi="Arial"/>
          <w:color w:val="000000"/>
          <w:sz w:val="22"/>
          <w:szCs w:val="22"/>
          <w:lang w:val="pt-BR" w:eastAsia="zh-CN" w:bidi="hi-IN"/>
        </w:rPr>
        <w:t xml:space="preserve"> Na</w:t>
      </w:r>
      <w:r>
        <w:rPr>
          <w:rFonts w:eastAsia="Arial" w:cs="Arial" w:ascii="Arial" w:hAnsi="Arial"/>
          <w:color w:val="000000"/>
          <w:sz w:val="22"/>
          <w:szCs w:val="22"/>
          <w:highlight w:val="white"/>
          <w:lang w:val="pt-BR" w:eastAsia="zh-CN" w:bidi="hi-IN"/>
        </w:rPr>
        <w:t xml:space="preserve"> produção animal a base de pastagens, o fornecimento consistente de forragens de alta qualidade é crucial para manter os níveis econômicos de produção e proporcionar resiliência econômica para os produtores rurais. Na estação fria, o azevém-anual (</w:t>
      </w:r>
      <w:r>
        <w:rPr>
          <w:rFonts w:eastAsia="Arial" w:cs="Arial" w:ascii="Arial" w:hAnsi="Arial"/>
          <w:i/>
          <w:color w:val="000000"/>
          <w:sz w:val="22"/>
          <w:szCs w:val="22"/>
          <w:highlight w:val="white"/>
          <w:lang w:val="pt-BR" w:eastAsia="zh-CN" w:bidi="hi-IN"/>
        </w:rPr>
        <w:t>Lolium multiflorum</w:t>
      </w:r>
      <w:r>
        <w:rPr>
          <w:rFonts w:eastAsia="Arial" w:cs="Arial" w:ascii="Arial" w:hAnsi="Arial"/>
          <w:color w:val="000000"/>
          <w:sz w:val="22"/>
          <w:szCs w:val="22"/>
          <w:highlight w:val="white"/>
          <w:lang w:val="pt-BR" w:eastAsia="zh-CN" w:bidi="hi-IN"/>
        </w:rPr>
        <w:t xml:space="preserve"> L.) é uma das principais gramíneas forrageiras utilizadas para atender à necessidade de alimentação dos rebanhos em termos de forrageamento para o inverno e primavera em regiões de clima temperado (RECH et al., 2022). O nitrogênio é essencial para o crescimento e desenvolvimento das plantas. Esse nutriente apresenta dinâmica complexa no solo. Entretanto, é altamente suscetível as perdas por volatilização, lixiviação e escoamento, podendo gerar dúvidas sobre doses e épocas ideais para realizar a aplicação (GASTAL et al., 2015). Há dúvidas sobre qual é a abordagem mais eficaz para o manejo da adubação em pastagem: fazer a aplicação total durante o perfilhamento ou aplicação de forma fracionada. Desta forma, o objetivo deste estudo foi avaliar as formas de aplicação de N, dose única (200 kg ha</w:t>
      </w:r>
      <w:r>
        <w:rPr>
          <w:rFonts w:eastAsia="Arial" w:cs="Arial" w:ascii="Arial" w:hAnsi="Arial"/>
          <w:color w:val="000000"/>
          <w:sz w:val="22"/>
          <w:szCs w:val="22"/>
          <w:highlight w:val="white"/>
          <w:vertAlign w:val="superscript"/>
          <w:lang w:val="pt-BR" w:eastAsia="zh-CN" w:bidi="hi-IN"/>
        </w:rPr>
        <w:t>-1</w:t>
      </w:r>
      <w:r>
        <w:rPr>
          <w:rFonts w:eastAsia="Arial" w:cs="Arial" w:ascii="Arial" w:hAnsi="Arial"/>
          <w:color w:val="000000"/>
          <w:sz w:val="22"/>
          <w:szCs w:val="22"/>
          <w:highlight w:val="white"/>
          <w:lang w:val="pt-BR" w:eastAsia="zh-CN" w:bidi="hi-IN"/>
        </w:rPr>
        <w:t xml:space="preserve"> no perfilhamento) e parcelado (4 aplicações de 50 kg ha</w:t>
      </w:r>
      <w:r>
        <w:rPr>
          <w:rFonts w:eastAsia="Arial" w:cs="Arial" w:ascii="Arial" w:hAnsi="Arial"/>
          <w:color w:val="000000"/>
          <w:sz w:val="20"/>
          <w:szCs w:val="20"/>
          <w:highlight w:val="white"/>
          <w:vertAlign w:val="superscript"/>
          <w:lang w:val="pt-BR" w:eastAsia="zh-CN" w:bidi="hi-IN"/>
        </w:rPr>
        <w:t>-1</w:t>
      </w:r>
      <w:r>
        <w:rPr>
          <w:rFonts w:eastAsia="Arial" w:cs="Arial" w:ascii="Arial" w:hAnsi="Arial"/>
          <w:color w:val="000000"/>
          <w:sz w:val="22"/>
          <w:szCs w:val="22"/>
          <w:highlight w:val="white"/>
          <w:lang w:val="pt-BR" w:eastAsia="zh-CN" w:bidi="hi-IN"/>
        </w:rPr>
        <w:t>) sobre aspectos produtivos do azevém-anual cultivar Alto Vale, em um sistema integrado de produção agropecuária do Planalto Serrano de Santa Catarina.</w:t>
      </w:r>
    </w:p>
    <w:p>
      <w:pPr>
        <w:pStyle w:val="LOnormal5"/>
        <w:jc w:val="both"/>
        <w:rPr>
          <w:rFonts w:ascii="Arial" w:hAnsi="Arial" w:eastAsia="Arial" w:cs="Arial"/>
          <w:color w:val="000000"/>
          <w:sz w:val="22"/>
          <w:szCs w:val="22"/>
          <w:lang w:val="pt-BR" w:eastAsia="zh-CN" w:bidi="hi-IN"/>
        </w:rPr>
      </w:pPr>
      <w:r>
        <w:rPr>
          <w:rFonts w:eastAsia="Arial" w:cs="Arial" w:ascii="Arial" w:hAnsi="Arial"/>
          <w:color w:val="000000"/>
          <w:sz w:val="22"/>
          <w:szCs w:val="22"/>
          <w:lang w:val="pt-BR" w:eastAsia="zh-CN" w:bidi="hi-IN"/>
        </w:rPr>
      </w:r>
    </w:p>
    <w:p>
      <w:pPr>
        <w:pStyle w:val="LOnormal5"/>
        <w:jc w:val="both"/>
        <w:rPr>
          <w:lang w:val="pt-BR" w:eastAsia="zh-CN" w:bidi="hi-IN"/>
        </w:rPr>
      </w:pPr>
      <w:r>
        <w:rPr>
          <w:rFonts w:eastAsia="Arial" w:cs="Arial" w:ascii="Arial" w:hAnsi="Arial"/>
          <w:b/>
          <w:color w:val="000000"/>
          <w:sz w:val="22"/>
          <w:szCs w:val="22"/>
          <w:lang w:val="pt-BR" w:eastAsia="zh-CN" w:bidi="hi-IN"/>
        </w:rPr>
        <w:t>Material e métodos:</w:t>
      </w:r>
      <w:r>
        <w:rPr>
          <w:rFonts w:eastAsia="Arial" w:cs="Arial" w:ascii="Arial" w:hAnsi="Arial"/>
          <w:color w:val="000000"/>
          <w:sz w:val="22"/>
          <w:szCs w:val="22"/>
          <w:lang w:val="pt-BR" w:eastAsia="zh-CN" w:bidi="hi-IN"/>
        </w:rPr>
        <w:t xml:space="preserve"> O experimento foi conduzido em área da Epagri/Estação Experimental de Lages, Santa Catarina, Brasil com altitude de 938 m, latitude de 27º48'27'' e longitude de 50º19'44''. O solo é classificado como um Cambissolo Húmico (EMBRAPA, 2013). O delineamento experimental foi de blocos ao acaso, com três tratamentos e quatro repetições: SN: sem adubação nitrogenada; NT- 200 kg ha</w:t>
      </w:r>
      <w:r>
        <w:rPr>
          <w:rFonts w:eastAsia="Arial" w:cs="Arial" w:ascii="Arial" w:hAnsi="Arial"/>
          <w:color w:val="000000"/>
          <w:sz w:val="22"/>
          <w:szCs w:val="22"/>
          <w:vertAlign w:val="superscript"/>
          <w:lang w:val="pt-BR" w:eastAsia="zh-CN" w:bidi="hi-IN"/>
        </w:rPr>
        <w:t>-1</w:t>
      </w:r>
      <w:r>
        <w:rPr>
          <w:rFonts w:eastAsia="Arial" w:cs="Arial" w:ascii="Arial" w:hAnsi="Arial"/>
          <w:color w:val="000000"/>
          <w:sz w:val="22"/>
          <w:szCs w:val="22"/>
          <w:lang w:val="pt-BR" w:eastAsia="zh-CN" w:bidi="hi-IN"/>
        </w:rPr>
        <w:t xml:space="preserve"> de N no perfilhamento do azevém; e NF-200 kg ha</w:t>
      </w:r>
      <w:r>
        <w:rPr>
          <w:rFonts w:eastAsia="Arial" w:cs="Arial" w:ascii="Arial" w:hAnsi="Arial"/>
          <w:color w:val="000000"/>
          <w:sz w:val="22"/>
          <w:szCs w:val="22"/>
          <w:vertAlign w:val="superscript"/>
          <w:lang w:val="pt-BR" w:eastAsia="zh-CN" w:bidi="hi-IN"/>
        </w:rPr>
        <w:t>-1</w:t>
      </w:r>
      <w:r>
        <w:rPr>
          <w:rFonts w:eastAsia="Arial" w:cs="Arial" w:ascii="Arial" w:hAnsi="Arial"/>
          <w:color w:val="000000"/>
          <w:sz w:val="22"/>
          <w:szCs w:val="22"/>
          <w:lang w:val="pt-BR" w:eastAsia="zh-CN" w:bidi="hi-IN"/>
        </w:rPr>
        <w:t xml:space="preserve"> de N fracionado em quatro aplicações (50 kg ha</w:t>
      </w:r>
      <w:r>
        <w:rPr>
          <w:rFonts w:eastAsia="Arial" w:cs="Arial" w:ascii="Arial" w:hAnsi="Arial"/>
          <w:color w:val="000000"/>
          <w:sz w:val="22"/>
          <w:szCs w:val="22"/>
          <w:vertAlign w:val="superscript"/>
          <w:lang w:val="pt-BR" w:eastAsia="zh-CN" w:bidi="hi-IN"/>
        </w:rPr>
        <w:t>-1</w:t>
      </w:r>
      <w:r>
        <w:rPr>
          <w:rFonts w:eastAsia="Arial" w:cs="Arial" w:ascii="Arial" w:hAnsi="Arial"/>
          <w:color w:val="000000"/>
          <w:sz w:val="22"/>
          <w:szCs w:val="22"/>
          <w:lang w:val="pt-BR" w:eastAsia="zh-CN" w:bidi="hi-IN"/>
        </w:rPr>
        <w:t xml:space="preserve"> de N no perfilhamento e mais 3 aplicações de 50 kg ha</w:t>
      </w:r>
      <w:r>
        <w:rPr>
          <w:rFonts w:eastAsia="Arial" w:cs="Arial" w:ascii="Arial" w:hAnsi="Arial"/>
          <w:color w:val="000000"/>
          <w:sz w:val="22"/>
          <w:szCs w:val="22"/>
          <w:vertAlign w:val="superscript"/>
          <w:lang w:val="pt-BR" w:eastAsia="zh-CN" w:bidi="hi-IN"/>
        </w:rPr>
        <w:t>-1</w:t>
      </w:r>
      <w:r>
        <w:rPr>
          <w:rFonts w:eastAsia="Arial" w:cs="Arial" w:ascii="Arial" w:hAnsi="Arial"/>
          <w:color w:val="000000"/>
          <w:sz w:val="22"/>
          <w:szCs w:val="22"/>
          <w:lang w:val="pt-BR" w:eastAsia="zh-CN" w:bidi="hi-IN"/>
        </w:rPr>
        <w:t>). O experimento iniciou em abril de 2022, com a semeadura azevém-anual cultivar SCS316 CR Altovale, com densidade 30 kg ha</w:t>
      </w:r>
      <w:r>
        <w:rPr>
          <w:rFonts w:eastAsia="Arial" w:cs="Arial" w:ascii="Arial" w:hAnsi="Arial"/>
          <w:color w:val="000000"/>
          <w:sz w:val="22"/>
          <w:szCs w:val="22"/>
          <w:vertAlign w:val="superscript"/>
          <w:lang w:val="pt-BR" w:eastAsia="zh-CN" w:bidi="hi-IN"/>
        </w:rPr>
        <w:t>-1</w:t>
      </w:r>
      <w:r>
        <w:rPr>
          <w:rFonts w:eastAsia="Arial" w:cs="Arial" w:ascii="Arial" w:hAnsi="Arial"/>
          <w:color w:val="000000"/>
          <w:sz w:val="22"/>
          <w:szCs w:val="22"/>
          <w:lang w:val="pt-BR" w:eastAsia="zh-CN" w:bidi="hi-IN"/>
        </w:rPr>
        <w:t xml:space="preserve"> e adubação na base de 200 kg ha</w:t>
      </w:r>
      <w:r>
        <w:rPr>
          <w:rFonts w:eastAsia="Arial" w:cs="Arial" w:ascii="Arial" w:hAnsi="Arial"/>
          <w:color w:val="000000"/>
          <w:sz w:val="22"/>
          <w:szCs w:val="22"/>
          <w:vertAlign w:val="superscript"/>
          <w:lang w:val="pt-BR" w:eastAsia="zh-CN" w:bidi="hi-IN"/>
        </w:rPr>
        <w:t xml:space="preserve">-1 </w:t>
      </w:r>
      <w:r>
        <w:rPr>
          <w:rFonts w:eastAsia="Arial" w:cs="Arial" w:ascii="Arial" w:hAnsi="Arial"/>
          <w:color w:val="000000"/>
          <w:sz w:val="22"/>
          <w:szCs w:val="22"/>
          <w:lang w:val="pt-BR" w:eastAsia="zh-CN" w:bidi="hi-IN"/>
        </w:rPr>
        <w:t>de Superfosfato Triplo (SFT, 41% de P</w:t>
      </w:r>
      <w:r>
        <w:rPr>
          <w:rFonts w:eastAsia="Arial" w:cs="Arial" w:ascii="Arial" w:hAnsi="Arial"/>
          <w:color w:val="000000"/>
          <w:sz w:val="22"/>
          <w:szCs w:val="22"/>
          <w:vertAlign w:val="subscript"/>
          <w:lang w:val="pt-BR" w:eastAsia="zh-CN" w:bidi="hi-IN"/>
        </w:rPr>
        <w:t>2</w:t>
      </w:r>
      <w:r>
        <w:rPr>
          <w:rFonts w:eastAsia="Arial" w:cs="Arial" w:ascii="Arial" w:hAnsi="Arial"/>
          <w:color w:val="000000"/>
          <w:sz w:val="22"/>
          <w:szCs w:val="22"/>
          <w:lang w:val="pt-BR" w:eastAsia="zh-CN" w:bidi="hi-IN"/>
        </w:rPr>
        <w:t>O</w:t>
      </w:r>
      <w:r>
        <w:rPr>
          <w:rFonts w:eastAsia="Arial" w:cs="Arial" w:ascii="Arial" w:hAnsi="Arial"/>
          <w:color w:val="000000"/>
          <w:sz w:val="22"/>
          <w:szCs w:val="22"/>
          <w:vertAlign w:val="subscript"/>
          <w:lang w:val="pt-BR" w:eastAsia="zh-CN" w:bidi="hi-IN"/>
        </w:rPr>
        <w:t>5</w:t>
      </w:r>
      <w:r>
        <w:rPr>
          <w:rFonts w:eastAsia="Arial" w:cs="Arial" w:ascii="Arial" w:hAnsi="Arial"/>
          <w:color w:val="000000"/>
          <w:sz w:val="22"/>
          <w:szCs w:val="22"/>
          <w:lang w:val="pt-BR" w:eastAsia="zh-CN" w:bidi="hi-IN"/>
        </w:rPr>
        <w:t>). Trinta dias após a semeadura foi realizado adubação à lanço de 150 kg ha</w:t>
      </w:r>
      <w:r>
        <w:rPr>
          <w:rFonts w:eastAsia="Arial" w:cs="Arial" w:ascii="Arial" w:hAnsi="Arial"/>
          <w:color w:val="000000"/>
          <w:sz w:val="22"/>
          <w:szCs w:val="22"/>
          <w:vertAlign w:val="superscript"/>
          <w:lang w:val="pt-BR" w:eastAsia="zh-CN" w:bidi="hi-IN"/>
        </w:rPr>
        <w:t>-1</w:t>
      </w:r>
      <w:r>
        <w:rPr>
          <w:rFonts w:eastAsia="Arial" w:cs="Arial" w:ascii="Arial" w:hAnsi="Arial"/>
          <w:color w:val="000000"/>
          <w:sz w:val="22"/>
          <w:szCs w:val="22"/>
          <w:lang w:val="pt-BR" w:eastAsia="zh-CN" w:bidi="hi-IN"/>
        </w:rPr>
        <w:t xml:space="preserve"> Cloreto de Potássio (KCl, 60% de K</w:t>
      </w:r>
      <w:r>
        <w:rPr>
          <w:rFonts w:eastAsia="Arial" w:cs="Arial" w:ascii="Arial" w:hAnsi="Arial"/>
          <w:color w:val="000000"/>
          <w:sz w:val="22"/>
          <w:szCs w:val="22"/>
          <w:vertAlign w:val="subscript"/>
          <w:lang w:val="pt-BR" w:eastAsia="zh-CN" w:bidi="hi-IN"/>
        </w:rPr>
        <w:t>2</w:t>
      </w:r>
      <w:r>
        <w:rPr>
          <w:rFonts w:eastAsia="Arial" w:cs="Arial" w:ascii="Arial" w:hAnsi="Arial"/>
          <w:color w:val="000000"/>
          <w:sz w:val="22"/>
          <w:szCs w:val="22"/>
          <w:lang w:val="pt-BR" w:eastAsia="zh-CN" w:bidi="hi-IN"/>
        </w:rPr>
        <w:t>O). A adubação nitrogenada foi realizada com</w:t>
      </w:r>
      <w:r>
        <w:rPr>
          <w:rFonts w:eastAsia="Arial" w:cs="Arial" w:ascii="Arial" w:hAnsi="Arial"/>
          <w:color w:val="000000"/>
          <w:sz w:val="22"/>
          <w:szCs w:val="22"/>
          <w:highlight w:val="white"/>
          <w:lang w:val="pt-BR" w:eastAsia="zh-CN" w:bidi="hi-IN"/>
        </w:rPr>
        <w:t xml:space="preserve"> uréia (46 %), de acordo com o delineamento do experimento. </w:t>
      </w:r>
      <w:r>
        <w:rPr>
          <w:rFonts w:eastAsia="Arial" w:cs="Arial" w:ascii="Arial" w:hAnsi="Arial"/>
          <w:color w:val="000000"/>
          <w:sz w:val="22"/>
          <w:szCs w:val="22"/>
          <w:lang w:val="pt-BR" w:eastAsia="zh-CN" w:bidi="hi-IN"/>
        </w:rPr>
        <w:t xml:space="preserve">Os tratamentos foram manejados com lotação intermitente na altura </w:t>
      </w:r>
      <w:r>
        <w:rPr>
          <w:rFonts w:eastAsia="Arial" w:cs="Arial" w:ascii="Arial" w:hAnsi="Arial"/>
          <w:color w:val="000000"/>
          <w:sz w:val="22"/>
          <w:szCs w:val="22"/>
          <w:highlight w:val="white"/>
          <w:lang w:val="pt-BR" w:eastAsia="zh-CN" w:bidi="hi-IN"/>
        </w:rPr>
        <w:t>de entrada de 20 cm e altura de saída de 12 cm</w:t>
      </w:r>
      <w:r>
        <w:rPr>
          <w:rFonts w:eastAsia="Arial" w:cs="Arial" w:ascii="Arial" w:hAnsi="Arial"/>
          <w:color w:val="000000"/>
          <w:sz w:val="22"/>
          <w:szCs w:val="22"/>
          <w:lang w:val="pt-BR" w:eastAsia="zh-CN" w:bidi="hi-IN"/>
        </w:rPr>
        <w:t xml:space="preserve">, no sistema “put and take” </w:t>
      </w:r>
      <w:r>
        <w:rPr>
          <w:rFonts w:eastAsia="Arial" w:cs="Arial" w:ascii="Arial" w:hAnsi="Arial"/>
          <w:color w:val="000000"/>
          <w:sz w:val="22"/>
          <w:szCs w:val="22"/>
          <w:highlight w:val="white"/>
          <w:lang w:val="pt-BR" w:eastAsia="zh-CN" w:bidi="hi-IN"/>
        </w:rPr>
        <w:t>com três animais “testers”</w:t>
      </w:r>
      <w:r>
        <w:rPr>
          <w:rFonts w:eastAsia="Arial" w:cs="Arial" w:ascii="Arial" w:hAnsi="Arial"/>
          <w:color w:val="000000"/>
          <w:sz w:val="22"/>
          <w:szCs w:val="22"/>
          <w:lang w:val="pt-BR" w:eastAsia="zh-CN" w:bidi="hi-IN"/>
        </w:rPr>
        <w:t xml:space="preserve"> e número variável de reguladores. </w:t>
      </w:r>
      <w:r>
        <w:rPr>
          <w:rFonts w:eastAsia="Arial" w:cs="Arial" w:ascii="Arial" w:hAnsi="Arial"/>
          <w:color w:val="000000"/>
          <w:sz w:val="22"/>
          <w:szCs w:val="22"/>
          <w:highlight w:val="white"/>
          <w:lang w:val="pt-BR" w:eastAsia="zh-CN" w:bidi="hi-IN"/>
        </w:rPr>
        <w:t>Para os tratamentos com adubação nitrogenada a área dos p</w:t>
      </w:r>
      <w:r>
        <w:rPr>
          <w:rFonts w:eastAsia="Arial" w:cs="Arial" w:ascii="Arial" w:hAnsi="Arial"/>
          <w:color w:val="000000"/>
          <w:sz w:val="22"/>
          <w:szCs w:val="22"/>
          <w:lang w:val="pt-BR" w:eastAsia="zh-CN" w:bidi="hi-IN"/>
        </w:rPr>
        <w:t>iquetes foi de 1.800m² e para o sem aplicação de nitrogênio foram utilizadas parcelas de 2.800m</w:t>
      </w:r>
      <w:r>
        <w:rPr>
          <w:rFonts w:eastAsia="Arial" w:cs="Arial" w:ascii="Arial" w:hAnsi="Arial"/>
          <w:color w:val="000000"/>
          <w:sz w:val="22"/>
          <w:szCs w:val="22"/>
          <w:vertAlign w:val="superscript"/>
          <w:lang w:val="pt-BR" w:eastAsia="zh-CN" w:bidi="hi-IN"/>
        </w:rPr>
        <w:t>2</w:t>
      </w:r>
      <w:r>
        <w:rPr>
          <w:rFonts w:eastAsia="Arial" w:cs="Arial" w:ascii="Arial" w:hAnsi="Arial"/>
          <w:color w:val="000000"/>
          <w:sz w:val="22"/>
          <w:szCs w:val="22"/>
          <w:lang w:val="pt-BR" w:eastAsia="zh-CN" w:bidi="hi-IN"/>
        </w:rPr>
        <w:t>. As variáveis avaliadas foram: intervalo de dias para o primeiro pastejo, densidade populacional de perfilhos inicial (DPP), número de pastejos, período de ocupação médio por unidade experimental, taxa de acúmulo diária no estabelecimento (TxAc Es), taxa de acúmulo diária média do ciclo (TxAc m) e produção de forragem total (kg de matéria seca MS ha</w:t>
      </w:r>
      <w:r>
        <w:rPr>
          <w:rFonts w:eastAsia="Arial" w:cs="Arial" w:ascii="Arial" w:hAnsi="Arial"/>
          <w:color w:val="000000"/>
          <w:sz w:val="22"/>
          <w:szCs w:val="22"/>
          <w:vertAlign w:val="superscript"/>
          <w:lang w:val="pt-BR" w:eastAsia="zh-CN" w:bidi="hi-IN"/>
        </w:rPr>
        <w:t>-1</w:t>
      </w:r>
      <w:r>
        <w:rPr>
          <w:rFonts w:eastAsia="Arial" w:cs="Arial" w:ascii="Arial" w:hAnsi="Arial"/>
          <w:color w:val="000000"/>
          <w:sz w:val="22"/>
          <w:szCs w:val="22"/>
          <w:lang w:val="pt-BR" w:eastAsia="zh-CN" w:bidi="hi-IN"/>
        </w:rPr>
        <w:t>). Densidade populacional de perfilhos (DPP) foi realizada através da contagem direta dos perfilhos em três quadros de 0,04m² antes do início do pastejo. Período de ocupação médio: foi realizado a média do tempo, em dias, que os animais permaneceram pastejando por unidade experimental. A massa de forragem (MF) foi determinada diretamente através de cinco cortes nas condições de pré e pós-pastejo, utilizando um aro circular de  35,5 cm de diâmetro. Os cortes foram realizados rente ao solo, assim, foi possível obter uma massa forrageira pré e pós-pastejo (kg.ha-1 de MS) para cada ciclo de pastagem, para estimar a produção de forragem do período. A taxa de acúmulo de forragem no intervalo de pastejo (TAFi) foi calculado seguindo a seguinte fórmula: TAFi= FAcperíodo2/ intervalo em dias entre o ciclo 1 e o ciclo 2; kg MS ha</w:t>
      </w:r>
      <w:r>
        <w:rPr>
          <w:rFonts w:eastAsia="Arial" w:cs="Arial" w:ascii="Arial" w:hAnsi="Arial"/>
          <w:color w:val="000000"/>
          <w:sz w:val="22"/>
          <w:szCs w:val="22"/>
          <w:vertAlign w:val="superscript"/>
          <w:lang w:val="pt-BR" w:eastAsia="zh-CN" w:bidi="hi-IN"/>
        </w:rPr>
        <w:t>-1</w:t>
      </w:r>
      <w:r>
        <w:rPr>
          <w:rFonts w:eastAsia="Arial" w:cs="Arial" w:ascii="Arial" w:hAnsi="Arial"/>
          <w:color w:val="000000"/>
          <w:sz w:val="22"/>
          <w:szCs w:val="22"/>
          <w:lang w:val="pt-BR" w:eastAsia="zh-CN" w:bidi="hi-IN"/>
        </w:rPr>
        <w:t xml:space="preserve"> d</w:t>
      </w:r>
      <w:r>
        <w:rPr>
          <w:rFonts w:eastAsia="Arial" w:cs="Arial" w:ascii="Arial" w:hAnsi="Arial"/>
          <w:color w:val="000000"/>
          <w:sz w:val="22"/>
          <w:szCs w:val="22"/>
          <w:vertAlign w:val="superscript"/>
          <w:lang w:val="pt-BR" w:eastAsia="zh-CN" w:bidi="hi-IN"/>
        </w:rPr>
        <w:t>-1</w:t>
      </w:r>
      <w:r>
        <w:rPr>
          <w:rFonts w:eastAsia="Arial" w:cs="Arial" w:ascii="Arial" w:hAnsi="Arial"/>
          <w:color w:val="000000"/>
          <w:sz w:val="22"/>
          <w:szCs w:val="22"/>
          <w:lang w:val="pt-BR" w:eastAsia="zh-CN" w:bidi="hi-IN"/>
        </w:rPr>
        <w:t>) para cada período de rebrota e posterior se fez a média das taxas de acúmulo de todos os pastejos do período (Taxa de acúmulo média), porém foi desconsiderado o sexto pastejo para os tratamentos com adubação. O acúmulo de forragem durante o pastejo (TAFp) foi calculado= Taxa de acúmulo diário intervalo anterior * dias de pastejo. A produção total de forragem foi calculada pelo somatório da massa de forragem inicial com as produções de cada período, obtidas multiplicando-se a taxa de acúmulo diário pelo número de dias do período. Porém no último pastejo, o azevém se encontrava na fase reprodutiva com inflorescência.</w:t>
      </w:r>
    </w:p>
    <w:p>
      <w:pPr>
        <w:pStyle w:val="LOnormal5"/>
        <w:ind w:right="-11" w:hanging="0"/>
        <w:jc w:val="both"/>
        <w:rPr>
          <w:lang w:val="pt-BR" w:eastAsia="zh-CN" w:bidi="hi-IN"/>
        </w:rPr>
      </w:pPr>
      <w:r>
        <w:rPr>
          <w:rFonts w:eastAsia="Arial" w:cs="Arial" w:ascii="Arial" w:hAnsi="Arial"/>
          <w:color w:val="000000"/>
          <w:sz w:val="22"/>
          <w:szCs w:val="22"/>
          <w:lang w:val="pt-BR" w:eastAsia="zh-CN" w:bidi="hi-IN"/>
        </w:rPr>
        <w:t>Os dados foram submetidos à análise de variância e as médias foram comparadas através do teste Duncan a 5% de probabilidade de erro. As análises estatísticas foram realizadas em linguagem de programação R.</w:t>
      </w:r>
    </w:p>
    <w:p>
      <w:pPr>
        <w:pStyle w:val="LOnormal5"/>
        <w:jc w:val="both"/>
        <w:rPr>
          <w:rFonts w:ascii="Arial" w:hAnsi="Arial" w:eastAsia="Arial" w:cs="Arial"/>
          <w:color w:val="000000"/>
          <w:sz w:val="22"/>
          <w:szCs w:val="22"/>
          <w:lang w:val="pt-BR" w:eastAsia="zh-CN" w:bidi="hi-IN"/>
        </w:rPr>
      </w:pPr>
      <w:r>
        <w:rPr>
          <w:rFonts w:eastAsia="Arial" w:cs="Arial" w:ascii="Arial" w:hAnsi="Arial"/>
          <w:color w:val="000000"/>
          <w:sz w:val="22"/>
          <w:szCs w:val="22"/>
          <w:lang w:val="pt-BR" w:eastAsia="zh-CN" w:bidi="hi-IN"/>
        </w:rPr>
      </w:r>
    </w:p>
    <w:p>
      <w:pPr>
        <w:pStyle w:val="LOnormal5"/>
        <w:jc w:val="both"/>
        <w:rPr>
          <w:lang w:val="pt-BR" w:eastAsia="zh-CN" w:bidi="hi-IN"/>
        </w:rPr>
      </w:pPr>
      <w:r>
        <w:rPr>
          <w:rFonts w:eastAsia="Arial" w:cs="Arial" w:ascii="Arial" w:hAnsi="Arial"/>
          <w:b/>
          <w:color w:val="000000"/>
          <w:sz w:val="22"/>
          <w:szCs w:val="22"/>
          <w:lang w:val="pt-BR" w:eastAsia="zh-CN" w:bidi="hi-IN"/>
        </w:rPr>
        <w:t>Resultados e discussões:</w:t>
      </w:r>
      <w:r>
        <w:rPr>
          <w:rFonts w:eastAsia="Arial" w:cs="Arial" w:ascii="Arial" w:hAnsi="Arial"/>
          <w:color w:val="000000"/>
          <w:sz w:val="22"/>
          <w:szCs w:val="22"/>
          <w:lang w:val="pt-BR" w:eastAsia="zh-CN" w:bidi="hi-IN"/>
        </w:rPr>
        <w:t xml:space="preserve"> a aplicação de adubação nitrogenada acelerou o crescimento do azevém, antecipando a entrada dos animais para o primeiro pastejo, 73 dias após a semeadura, a pastagem atingiu a altura de entrada preconizada, enquanto para o tratamento sem adubação a entrada ocorreu com média de 132 dias após a semeadura (Tabela 1).</w:t>
      </w:r>
    </w:p>
    <w:p>
      <w:pPr>
        <w:pStyle w:val="LOnormal5"/>
        <w:jc w:val="both"/>
        <w:rPr>
          <w:rFonts w:ascii="Arial" w:hAnsi="Arial" w:eastAsia="Arial" w:cs="Arial"/>
          <w:color w:val="000000"/>
          <w:sz w:val="22"/>
          <w:szCs w:val="22"/>
          <w:lang w:val="pt-BR" w:eastAsia="zh-CN" w:bidi="hi-IN"/>
        </w:rPr>
      </w:pPr>
      <w:r>
        <w:rPr>
          <w:rFonts w:eastAsia="Arial" w:cs="Arial" w:ascii="Arial" w:hAnsi="Arial"/>
          <w:color w:val="000000"/>
          <w:sz w:val="22"/>
          <w:szCs w:val="22"/>
          <w:lang w:val="pt-BR" w:eastAsia="zh-CN" w:bidi="hi-IN"/>
        </w:rPr>
      </w:r>
    </w:p>
    <w:p>
      <w:pPr>
        <w:pStyle w:val="LOnormal5"/>
        <w:jc w:val="both"/>
        <w:rPr>
          <w:lang w:val="pt-BR" w:eastAsia="zh-CN" w:bidi="hi-IN"/>
        </w:rPr>
      </w:pPr>
      <w:r>
        <w:rPr>
          <w:rFonts w:eastAsia="Arial" w:cs="Arial" w:ascii="Arial" w:hAnsi="Arial"/>
          <w:b/>
          <w:color w:val="000000"/>
          <w:sz w:val="20"/>
          <w:szCs w:val="20"/>
          <w:lang w:val="pt-BR" w:eastAsia="zh-CN" w:bidi="hi-IN"/>
        </w:rPr>
        <w:t>Tabela 1. Variáveis analisadas na pastagem de azevém-anual cv. Alto Vale. Estação Experimental de Lages. 2022.</w:t>
      </w:r>
    </w:p>
    <w:tbl>
      <w:tblPr>
        <w:tblStyle w:val="Table1"/>
        <w:tblW w:w="9070" w:type="dxa"/>
        <w:jc w:val="left"/>
        <w:tblInd w:w="0" w:type="dxa"/>
        <w:tblLayout w:type="fixed"/>
        <w:tblCellMar>
          <w:top w:w="0" w:type="dxa"/>
          <w:left w:w="108" w:type="dxa"/>
          <w:bottom w:w="0" w:type="dxa"/>
          <w:right w:w="108" w:type="dxa"/>
        </w:tblCellMar>
        <w:tblLook w:val="0400"/>
      </w:tblPr>
      <w:tblGrid>
        <w:gridCol w:w="4011"/>
        <w:gridCol w:w="969"/>
        <w:gridCol w:w="969"/>
        <w:gridCol w:w="1063"/>
        <w:gridCol w:w="1055"/>
        <w:gridCol w:w="1002"/>
      </w:tblGrid>
      <w:tr>
        <w:trPr>
          <w:trHeight w:val="344" w:hRule="atLeast"/>
        </w:trPr>
        <w:tc>
          <w:tcPr>
            <w:tcW w:w="4011" w:type="dxa"/>
            <w:tcBorders>
              <w:top w:val="single" w:sz="8" w:space="0" w:color="000000"/>
              <w:bottom w:val="single" w:sz="8" w:space="0" w:color="000001"/>
            </w:tcBorders>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Variáveis</w:t>
            </w:r>
          </w:p>
        </w:tc>
        <w:tc>
          <w:tcPr>
            <w:tcW w:w="969" w:type="dxa"/>
            <w:tcBorders>
              <w:top w:val="single" w:sz="8" w:space="0" w:color="000000"/>
              <w:bottom w:val="single" w:sz="8" w:space="0" w:color="000001"/>
            </w:tcBorders>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SN</w:t>
            </w:r>
          </w:p>
        </w:tc>
        <w:tc>
          <w:tcPr>
            <w:tcW w:w="969" w:type="dxa"/>
            <w:tcBorders>
              <w:top w:val="single" w:sz="8" w:space="0" w:color="000000"/>
              <w:bottom w:val="single" w:sz="8" w:space="0" w:color="000001"/>
            </w:tcBorders>
            <w:shd w:fill="FFFFFF" w:val="clear"/>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NF</w:t>
            </w:r>
          </w:p>
        </w:tc>
        <w:tc>
          <w:tcPr>
            <w:tcW w:w="1063" w:type="dxa"/>
            <w:tcBorders>
              <w:top w:val="single" w:sz="8" w:space="0" w:color="000000"/>
              <w:bottom w:val="single" w:sz="8" w:space="0" w:color="000001"/>
            </w:tcBorders>
            <w:shd w:fill="FFFFFF" w:val="clear"/>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NT</w:t>
            </w:r>
          </w:p>
        </w:tc>
        <w:tc>
          <w:tcPr>
            <w:tcW w:w="1055" w:type="dxa"/>
            <w:tcBorders>
              <w:top w:val="single" w:sz="8" w:space="0" w:color="000000"/>
              <w:bottom w:val="single" w:sz="8" w:space="0" w:color="000001"/>
            </w:tcBorders>
            <w:shd w:fill="FFFFFF" w:val="clear"/>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Valor p</w:t>
            </w:r>
          </w:p>
        </w:tc>
        <w:tc>
          <w:tcPr>
            <w:tcW w:w="1002" w:type="dxa"/>
            <w:tcBorders>
              <w:top w:val="single" w:sz="8" w:space="0" w:color="000000"/>
              <w:bottom w:val="single" w:sz="8" w:space="0" w:color="000001"/>
            </w:tcBorders>
            <w:shd w:fill="FFFFFF" w:val="clear"/>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CV (%)</w:t>
            </w:r>
          </w:p>
        </w:tc>
      </w:tr>
      <w:tr>
        <w:trPr>
          <w:trHeight w:val="394" w:hRule="atLeast"/>
        </w:trPr>
        <w:tc>
          <w:tcPr>
            <w:tcW w:w="4011" w:type="dxa"/>
            <w:tcBorders>
              <w:top w:val="single" w:sz="8" w:space="0" w:color="000001"/>
            </w:tcBorders>
            <w:tcMar>
              <w:left w:w="18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Dias para o estabelecimento</w:t>
            </w:r>
          </w:p>
        </w:tc>
        <w:tc>
          <w:tcPr>
            <w:tcW w:w="969" w:type="dxa"/>
            <w:tcBorders>
              <w:top w:val="single" w:sz="8" w:space="0" w:color="000001"/>
            </w:tcBorders>
            <w:tcMar>
              <w:left w:w="18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132</w:t>
            </w:r>
          </w:p>
        </w:tc>
        <w:tc>
          <w:tcPr>
            <w:tcW w:w="969" w:type="dxa"/>
            <w:tcBorders>
              <w:top w:val="single" w:sz="8" w:space="0" w:color="000001"/>
            </w:tcBorders>
            <w:tcMar>
              <w:left w:w="18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73</w:t>
            </w:r>
          </w:p>
        </w:tc>
        <w:tc>
          <w:tcPr>
            <w:tcW w:w="1063" w:type="dxa"/>
            <w:tcBorders>
              <w:top w:val="single" w:sz="8" w:space="0" w:color="000001"/>
            </w:tcBorders>
            <w:tcMar>
              <w:left w:w="18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73</w:t>
            </w:r>
          </w:p>
        </w:tc>
        <w:tc>
          <w:tcPr>
            <w:tcW w:w="1055" w:type="dxa"/>
            <w:tcBorders>
              <w:top w:val="single" w:sz="8" w:space="0" w:color="000001"/>
            </w:tcBorders>
            <w:tcMar>
              <w:left w:w="18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&gt;0.001</w:t>
            </w:r>
          </w:p>
        </w:tc>
        <w:tc>
          <w:tcPr>
            <w:tcW w:w="1002" w:type="dxa"/>
            <w:tcBorders>
              <w:top w:val="single" w:sz="8" w:space="0" w:color="000001"/>
            </w:tcBorders>
            <w:tcMar>
              <w:left w:w="18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7.42</w:t>
            </w:r>
          </w:p>
        </w:tc>
      </w:tr>
      <w:tr>
        <w:trPr>
          <w:trHeight w:val="304" w:hRule="atLeast"/>
        </w:trPr>
        <w:tc>
          <w:tcPr>
            <w:tcW w:w="4011" w:type="dxa"/>
            <w:tcBorders/>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DPP inicial m²</w:t>
            </w:r>
          </w:p>
        </w:tc>
        <w:tc>
          <w:tcPr>
            <w:tcW w:w="969" w:type="dxa"/>
            <w:tcBorders/>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4572</w:t>
            </w:r>
          </w:p>
        </w:tc>
        <w:tc>
          <w:tcPr>
            <w:tcW w:w="969" w:type="dxa"/>
            <w:tcBorders/>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5312</w:t>
            </w:r>
          </w:p>
        </w:tc>
        <w:tc>
          <w:tcPr>
            <w:tcW w:w="1063" w:type="dxa"/>
            <w:tcBorders/>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5468</w:t>
            </w:r>
          </w:p>
        </w:tc>
        <w:tc>
          <w:tcPr>
            <w:tcW w:w="1055" w:type="dxa"/>
            <w:tcBorders/>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0.241</w:t>
            </w:r>
          </w:p>
        </w:tc>
        <w:tc>
          <w:tcPr>
            <w:tcW w:w="1002" w:type="dxa"/>
            <w:tcBorders/>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13.81</w:t>
            </w:r>
          </w:p>
        </w:tc>
      </w:tr>
      <w:tr>
        <w:trPr>
          <w:trHeight w:val="271" w:hRule="atLeast"/>
        </w:trPr>
        <w:tc>
          <w:tcPr>
            <w:tcW w:w="4011" w:type="dxa"/>
            <w:tcBorders/>
            <w:tcMar>
              <w:left w:w="16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Número de pastejos </w:t>
            </w:r>
          </w:p>
        </w:tc>
        <w:tc>
          <w:tcPr>
            <w:tcW w:w="969" w:type="dxa"/>
            <w:tcBorders/>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2.00 b</w:t>
            </w:r>
          </w:p>
        </w:tc>
        <w:tc>
          <w:tcPr>
            <w:tcW w:w="969" w:type="dxa"/>
            <w:tcBorders/>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5.75 a</w:t>
            </w:r>
          </w:p>
        </w:tc>
        <w:tc>
          <w:tcPr>
            <w:tcW w:w="1063" w:type="dxa"/>
            <w:tcBorders/>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5.75 a</w:t>
            </w:r>
          </w:p>
        </w:tc>
        <w:tc>
          <w:tcPr>
            <w:tcW w:w="1055" w:type="dxa"/>
            <w:tcBorders/>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&gt;0.001</w:t>
            </w:r>
          </w:p>
        </w:tc>
        <w:tc>
          <w:tcPr>
            <w:tcW w:w="1002" w:type="dxa"/>
            <w:tcBorders/>
            <w:tcMar>
              <w:left w:w="16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6.42</w:t>
            </w:r>
          </w:p>
        </w:tc>
      </w:tr>
      <w:tr>
        <w:trPr>
          <w:trHeight w:val="465" w:hRule="atLeast"/>
        </w:trPr>
        <w:tc>
          <w:tcPr>
            <w:tcW w:w="4011" w:type="dxa"/>
            <w:tcBorders/>
            <w:tcMar>
              <w:left w:w="16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Período de Ocupação Total/piquete (dias)</w:t>
            </w:r>
          </w:p>
        </w:tc>
        <w:tc>
          <w:tcPr>
            <w:tcW w:w="969" w:type="dxa"/>
            <w:tcBorders/>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19.00 b</w:t>
            </w:r>
          </w:p>
        </w:tc>
        <w:tc>
          <w:tcPr>
            <w:tcW w:w="969" w:type="dxa"/>
            <w:tcBorders/>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33.00 a</w:t>
            </w:r>
          </w:p>
        </w:tc>
        <w:tc>
          <w:tcPr>
            <w:tcW w:w="1063" w:type="dxa"/>
            <w:tcBorders/>
            <w:tcMar>
              <w:left w:w="160" w:type="dxa"/>
            </w:tcMar>
          </w:tcPr>
          <w:p>
            <w:pPr>
              <w:pStyle w:val="LOnormal5"/>
              <w:widowControl w:val="false"/>
              <w:rPr>
                <w:rFonts w:ascii="Arial" w:hAnsi="Arial" w:eastAsia="Arial" w:cs="Arial"/>
                <w:color w:val="000000"/>
                <w:sz w:val="20"/>
                <w:szCs w:val="20"/>
                <w:lang w:val="pt-BR" w:eastAsia="zh-CN" w:bidi="hi-IN"/>
              </w:rPr>
            </w:pPr>
            <w:r>
              <w:rPr>
                <w:rFonts w:eastAsia="Arial" w:cs="Arial" w:ascii="Arial" w:hAnsi="Arial"/>
                <w:color w:val="000000"/>
                <w:sz w:val="20"/>
                <w:szCs w:val="20"/>
                <w:lang w:val="pt-BR" w:eastAsia="zh-CN" w:bidi="hi-IN"/>
              </w:rPr>
              <w:t>28.75 ab</w:t>
            </w:r>
          </w:p>
        </w:tc>
        <w:tc>
          <w:tcPr>
            <w:tcW w:w="1055" w:type="dxa"/>
            <w:tcBorders/>
            <w:tcMar>
              <w:left w:w="16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0.033</w:t>
            </w:r>
          </w:p>
        </w:tc>
        <w:tc>
          <w:tcPr>
            <w:tcW w:w="1002" w:type="dxa"/>
            <w:tcBorders/>
            <w:tcMar>
              <w:left w:w="16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21.15</w:t>
            </w:r>
          </w:p>
        </w:tc>
      </w:tr>
      <w:tr>
        <w:trPr>
          <w:trHeight w:val="211" w:hRule="atLeast"/>
        </w:trPr>
        <w:tc>
          <w:tcPr>
            <w:tcW w:w="4011" w:type="dxa"/>
            <w:tcBorders>
              <w:bottom w:val="single" w:sz="4" w:space="0" w:color="000000"/>
            </w:tcBorders>
            <w:tcMar>
              <w:left w:w="160" w:type="dxa"/>
            </w:tcMar>
          </w:tcPr>
          <w:p>
            <w:pPr>
              <w:pStyle w:val="LOnormal5"/>
              <w:widowControl w:val="false"/>
              <w:rPr>
                <w:rFonts w:ascii="Arial" w:hAnsi="Arial" w:eastAsia="Arial"/>
                <w:sz w:val="20"/>
                <w:szCs w:val="20"/>
                <w:lang w:val="pt-BR" w:eastAsia="zh-CN" w:bidi="hi-IN"/>
              </w:rPr>
            </w:pPr>
            <w:r>
              <w:rPr>
                <w:rFonts w:eastAsia="Arial" w:cs="Arial" w:ascii="Arial" w:hAnsi="Arial"/>
                <w:sz w:val="20"/>
                <w:szCs w:val="20"/>
                <w:lang w:val="pt-BR" w:eastAsia="zh-CN" w:bidi="hi-IN"/>
              </w:rPr>
              <w:t>Produção total de forragem (kg MS ha</w:t>
            </w:r>
            <w:r>
              <w:rPr>
                <w:rFonts w:eastAsia="Arial" w:cs="Arial" w:ascii="Arial" w:hAnsi="Arial"/>
                <w:sz w:val="20"/>
                <w:szCs w:val="20"/>
                <w:vertAlign w:val="superscript"/>
                <w:lang w:val="pt-BR" w:eastAsia="zh-CN" w:bidi="hi-IN"/>
              </w:rPr>
              <w:t>-1</w:t>
            </w:r>
            <w:r>
              <w:rPr>
                <w:rFonts w:eastAsia="Arial" w:cs="Arial" w:ascii="Arial" w:hAnsi="Arial"/>
                <w:sz w:val="20"/>
                <w:szCs w:val="20"/>
                <w:lang w:val="pt-BR" w:eastAsia="zh-CN" w:bidi="hi-IN"/>
              </w:rPr>
              <w:t>)</w:t>
            </w:r>
          </w:p>
        </w:tc>
        <w:tc>
          <w:tcPr>
            <w:tcW w:w="969" w:type="dxa"/>
            <w:tcBorders>
              <w:bottom w:val="single" w:sz="4" w:space="0" w:color="000000"/>
            </w:tcBorders>
            <w:tcMar>
              <w:left w:w="16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3208 b</w:t>
            </w:r>
          </w:p>
        </w:tc>
        <w:tc>
          <w:tcPr>
            <w:tcW w:w="969" w:type="dxa"/>
            <w:tcBorders>
              <w:bottom w:val="single" w:sz="4" w:space="0" w:color="000000"/>
            </w:tcBorders>
            <w:tcMar>
              <w:left w:w="16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8420 a</w:t>
            </w:r>
          </w:p>
        </w:tc>
        <w:tc>
          <w:tcPr>
            <w:tcW w:w="1063" w:type="dxa"/>
            <w:tcBorders>
              <w:bottom w:val="single" w:sz="4" w:space="0" w:color="000000"/>
            </w:tcBorders>
            <w:tcMar>
              <w:left w:w="16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7497 a</w:t>
            </w:r>
          </w:p>
        </w:tc>
        <w:tc>
          <w:tcPr>
            <w:tcW w:w="1055" w:type="dxa"/>
            <w:tcBorders>
              <w:bottom w:val="single" w:sz="4" w:space="0" w:color="000000"/>
            </w:tcBorders>
            <w:tcMar>
              <w:left w:w="16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0.003</w:t>
            </w:r>
          </w:p>
        </w:tc>
        <w:tc>
          <w:tcPr>
            <w:tcW w:w="1002" w:type="dxa"/>
            <w:tcBorders>
              <w:bottom w:val="single" w:sz="4" w:space="0" w:color="000000"/>
            </w:tcBorders>
            <w:tcMar>
              <w:left w:w="160" w:type="dxa"/>
            </w:tcMar>
          </w:tcPr>
          <w:p>
            <w:pPr>
              <w:pStyle w:val="LOnormal5"/>
              <w:widowControl w:val="false"/>
              <w:rPr>
                <w:rFonts w:ascii="Arial" w:hAnsi="Arial" w:eastAsia="Arial" w:cs="Arial"/>
                <w:sz w:val="20"/>
                <w:szCs w:val="20"/>
                <w:lang w:val="pt-BR" w:eastAsia="zh-CN" w:bidi="hi-IN"/>
              </w:rPr>
            </w:pPr>
            <w:r>
              <w:rPr>
                <w:rFonts w:eastAsia="Arial" w:cs="Arial" w:ascii="Arial" w:hAnsi="Arial"/>
                <w:sz w:val="20"/>
                <w:szCs w:val="20"/>
                <w:lang w:val="pt-BR" w:eastAsia="zh-CN" w:bidi="hi-IN"/>
              </w:rPr>
              <w:t>21.28</w:t>
            </w:r>
          </w:p>
        </w:tc>
      </w:tr>
    </w:tbl>
    <w:p>
      <w:pPr>
        <w:pStyle w:val="LOnormal5"/>
        <w:jc w:val="both"/>
        <w:rPr>
          <w:lang w:val="pt-BR" w:eastAsia="zh-CN" w:bidi="hi-IN"/>
        </w:rPr>
      </w:pPr>
      <w:r>
        <w:rPr>
          <w:rFonts w:eastAsia="Arial" w:cs="Arial" w:ascii="Arial" w:hAnsi="Arial"/>
          <w:b/>
          <w:color w:val="000000"/>
          <w:sz w:val="20"/>
          <w:szCs w:val="20"/>
          <w:lang w:val="pt-BR" w:eastAsia="zh-CN" w:bidi="hi-IN"/>
        </w:rPr>
        <w:t>*SN= Sem adubação nitrogenada; NF= Adubação nitrogenada fracionada e NT- Adubação nitrogenada total no perfilhamento. **As médias seguidas de letras minúsculas diferentes diferem (P &lt; 0,05) pelo teste de Duncan.</w:t>
      </w:r>
    </w:p>
    <w:p>
      <w:pPr>
        <w:pStyle w:val="LOnormal5"/>
        <w:jc w:val="both"/>
        <w:rPr>
          <w:rFonts w:ascii="Arial" w:hAnsi="Arial" w:eastAsia="Arial" w:cs="Arial"/>
          <w:color w:val="000000"/>
          <w:sz w:val="22"/>
          <w:szCs w:val="22"/>
        </w:rPr>
      </w:pPr>
      <w:r>
        <w:rPr>
          <w:rFonts w:eastAsia="Arial" w:cs="Arial" w:ascii="Arial" w:hAnsi="Arial"/>
          <w:color w:val="000000"/>
          <w:sz w:val="22"/>
          <w:szCs w:val="22"/>
        </w:rPr>
      </w:r>
    </w:p>
    <w:p>
      <w:pPr>
        <w:pStyle w:val="LOnormal5"/>
        <w:jc w:val="both"/>
        <w:rPr>
          <w:lang w:val="pt-BR" w:eastAsia="zh-CN" w:bidi="hi-IN"/>
        </w:rPr>
      </w:pPr>
      <w:r>
        <w:rPr>
          <w:rFonts w:eastAsia="Arial" w:cs="Arial" w:ascii="Arial" w:hAnsi="Arial"/>
          <w:color w:val="000000"/>
          <w:sz w:val="22"/>
          <w:szCs w:val="22"/>
          <w:lang w:val="pt-BR" w:eastAsia="zh-CN" w:bidi="hi-IN"/>
        </w:rPr>
        <w:t xml:space="preserve">A entrada tardia limitou o número de ciclos de pastejo ao longo da fase de inverno, ocorrendo apenas 2 pastejos por piquete, enquanto para os tratamentos que receberam adubação, a média foi de 5,75 ciclos de pastejo. Em relação ao tempo de ocupação dos piquetes, a aplicação da adubação fracionada proporcionou 33 dias de pastejo sendo semelhante ao N em aplicação total, que foi de 28,75 dias. A densidade populacional de perfilhos por m² inicial não diferiu entre os tratamentos, com valor médio de 5.119 perfilhos. m², garantindo a uniformidade da pastagem em todos os tratamentos. </w:t>
      </w:r>
      <w:r>
        <w:rPr>
          <w:rFonts w:eastAsia="Arial" w:cs="Arial" w:ascii="Arial" w:hAnsi="Arial"/>
          <w:color w:val="000000"/>
          <w:sz w:val="22"/>
          <w:szCs w:val="22"/>
          <w:highlight w:val="white"/>
          <w:lang w:val="pt-BR" w:eastAsia="zh-CN" w:bidi="hi-IN"/>
        </w:rPr>
        <w:t>O tratamento com aplicação total de N (NT) apresentou maior média da taxa de acúmulo diária de estabelecimento (Tabela 2). No entanto, quando se compara a média das taxas de acúmulo dos intervalos de pastejo durante todo o ciclo do azevém, não houve diferença significativa entre os NT e NF, ambos foram superiores ao SN, o que explica automaticamente a maior produção de forragem total para estes tratamentos. </w:t>
      </w:r>
    </w:p>
    <w:p>
      <w:pPr>
        <w:pStyle w:val="LOnormal5"/>
        <w:jc w:val="both"/>
        <w:rPr>
          <w:lang w:val="pt-BR" w:eastAsia="zh-CN" w:bidi="hi-IN"/>
        </w:rPr>
      </w:pPr>
      <w:r>
        <w:rPr>
          <w:rFonts w:eastAsia="Arial" w:cs="Arial" w:ascii="Arial" w:hAnsi="Arial"/>
          <w:color w:val="000000"/>
          <w:sz w:val="22"/>
          <w:szCs w:val="22"/>
          <w:highlight w:val="white"/>
          <w:lang w:val="pt-BR" w:eastAsia="zh-CN" w:bidi="hi-IN"/>
        </w:rPr>
        <w:t>A adubação nitrogenada de 200 kg ha</w:t>
      </w:r>
      <w:r>
        <w:rPr>
          <w:rFonts w:eastAsia="Arial" w:cs="Arial" w:ascii="Arial" w:hAnsi="Arial"/>
          <w:color w:val="000000"/>
          <w:sz w:val="22"/>
          <w:szCs w:val="22"/>
          <w:highlight w:val="white"/>
          <w:vertAlign w:val="superscript"/>
          <w:lang w:val="pt-BR" w:eastAsia="zh-CN" w:bidi="hi-IN"/>
        </w:rPr>
        <w:t>-1</w:t>
      </w:r>
      <w:r>
        <w:rPr>
          <w:rFonts w:eastAsia="Arial" w:cs="Arial" w:ascii="Arial" w:hAnsi="Arial"/>
          <w:color w:val="000000"/>
          <w:sz w:val="22"/>
          <w:szCs w:val="22"/>
          <w:highlight w:val="white"/>
          <w:lang w:val="pt-BR" w:eastAsia="zh-CN" w:bidi="hi-IN"/>
        </w:rPr>
        <w:t xml:space="preserve"> em ambas estratégias, proporcionaram um incremento na produção de forragem de 4.7 toneladas de MS  (Tabela 1) quando comparado ao tratamento sem adubação (SN). Ressalta-se que a adubação adotada neste estudo é muito próxima à taxa ótima de fertilização de N recomendada  por CINAR et al. (2020). </w:t>
      </w:r>
    </w:p>
    <w:p>
      <w:pPr>
        <w:pStyle w:val="LOnormal5"/>
        <w:widowControl w:val="false"/>
        <w:rPr>
          <w:rFonts w:ascii="Arial" w:hAnsi="Arial" w:eastAsia="Arial" w:cs="Arial"/>
          <w:color w:val="000000"/>
          <w:sz w:val="22"/>
          <w:szCs w:val="22"/>
          <w:lang w:val="pt-BR" w:eastAsia="zh-CN" w:bidi="hi-IN"/>
        </w:rPr>
      </w:pPr>
      <w:r>
        <w:rPr>
          <w:rFonts w:eastAsia="Arial" w:cs="Arial" w:ascii="Arial" w:hAnsi="Arial"/>
          <w:color w:val="000000"/>
          <w:sz w:val="22"/>
          <w:szCs w:val="22"/>
          <w:lang w:val="pt-BR" w:eastAsia="zh-CN" w:bidi="hi-IN"/>
        </w:rPr>
      </w:r>
    </w:p>
    <w:p>
      <w:pPr>
        <w:pStyle w:val="LOnormal5"/>
        <w:rPr>
          <w:lang w:val="pt-BR" w:eastAsia="zh-CN" w:bidi="hi-IN"/>
        </w:rPr>
      </w:pPr>
      <w:r>
        <w:rPr>
          <w:rFonts w:eastAsia="Arial" w:cs="Arial" w:ascii="Arial" w:hAnsi="Arial"/>
          <w:b/>
          <w:color w:val="000000"/>
          <w:sz w:val="20"/>
          <w:szCs w:val="20"/>
          <w:lang w:val="pt-BR" w:eastAsia="zh-CN" w:bidi="hi-IN"/>
        </w:rPr>
        <w:t>Tabela 2. T</w:t>
      </w:r>
      <w:r>
        <w:rPr>
          <w:rFonts w:eastAsia="Arial" w:cs="Arial" w:ascii="Arial" w:hAnsi="Arial"/>
          <w:b/>
          <w:color w:val="000000"/>
          <w:sz w:val="22"/>
          <w:szCs w:val="22"/>
          <w:lang w:val="pt-BR" w:eastAsia="zh-CN" w:bidi="hi-IN"/>
        </w:rPr>
        <w:t xml:space="preserve">axa de acúmulo diária de matéria seca de estabelecimento  (TxAc Es)  e taxa de acúmulo diária de intervalo de pastejo média do período (TxAc-m) do </w:t>
      </w:r>
      <w:r>
        <w:rPr>
          <w:rFonts w:eastAsia="Arial" w:cs="Arial" w:ascii="Arial" w:hAnsi="Arial"/>
          <w:b/>
          <w:color w:val="000000"/>
          <w:sz w:val="22"/>
          <w:szCs w:val="22"/>
          <w:highlight w:val="white"/>
          <w:lang w:val="pt-BR" w:eastAsia="zh-CN" w:bidi="hi-IN"/>
        </w:rPr>
        <w:t>azevém-anual cultivar SCS316 CR Altovale.</w:t>
      </w:r>
    </w:p>
    <w:tbl>
      <w:tblPr>
        <w:tblStyle w:val="Table2"/>
        <w:tblW w:w="9162" w:type="dxa"/>
        <w:jc w:val="left"/>
        <w:tblInd w:w="0" w:type="dxa"/>
        <w:tblLayout w:type="fixed"/>
        <w:tblCellMar>
          <w:top w:w="0" w:type="dxa"/>
          <w:left w:w="108" w:type="dxa"/>
          <w:bottom w:w="0" w:type="dxa"/>
          <w:right w:w="108" w:type="dxa"/>
        </w:tblCellMar>
        <w:tblLook w:val="0400"/>
      </w:tblPr>
      <w:tblGrid>
        <w:gridCol w:w="3437"/>
        <w:gridCol w:w="1210"/>
        <w:gridCol w:w="1213"/>
        <w:gridCol w:w="1207"/>
        <w:gridCol w:w="1122"/>
        <w:gridCol w:w="972"/>
      </w:tblGrid>
      <w:tr>
        <w:trPr>
          <w:trHeight w:val="287" w:hRule="atLeast"/>
        </w:trPr>
        <w:tc>
          <w:tcPr>
            <w:tcW w:w="7067" w:type="dxa"/>
            <w:gridSpan w:val="4"/>
            <w:tcBorders>
              <w:top w:val="single" w:sz="6" w:space="0" w:color="000000"/>
              <w:bottom w:val="single" w:sz="6" w:space="0" w:color="000000"/>
            </w:tcBorders>
          </w:tcPr>
          <w:p>
            <w:pPr>
              <w:pStyle w:val="LOnormal5"/>
              <w:widowControl w:val="false"/>
              <w:jc w:val="center"/>
              <w:rPr>
                <w:color w:val="000000"/>
                <w:lang w:val="pt-BR" w:eastAsia="zh-CN" w:bidi="hi-IN"/>
              </w:rPr>
            </w:pPr>
            <w:r>
              <w:rPr>
                <w:rFonts w:eastAsia="Arial" w:cs="Arial" w:ascii="Arial" w:hAnsi="Arial"/>
                <w:color w:val="000000"/>
                <w:sz w:val="20"/>
                <w:szCs w:val="20"/>
                <w:lang w:val="pt-BR" w:eastAsia="zh-CN" w:bidi="hi-IN"/>
              </w:rPr>
              <w:t xml:space="preserve">                                                       </w:t>
            </w:r>
            <w:r>
              <w:rPr>
                <w:rFonts w:eastAsia="Arial" w:cs="Arial" w:ascii="Arial" w:hAnsi="Arial"/>
                <w:color w:val="000000"/>
                <w:kern w:val="0"/>
                <w:sz w:val="20"/>
                <w:szCs w:val="20"/>
                <w:lang w:val="pt-BR" w:eastAsia="zh-CN" w:bidi="hi-IN"/>
              </w:rPr>
              <w:t>Tratamentos</w:t>
            </w:r>
          </w:p>
        </w:tc>
        <w:tc>
          <w:tcPr>
            <w:tcW w:w="1122" w:type="dxa"/>
            <w:tcBorders>
              <w:top w:val="single" w:sz="6" w:space="0" w:color="000000"/>
              <w:bottom w:val="single" w:sz="6" w:space="0" w:color="000000"/>
            </w:tcBorders>
          </w:tcPr>
          <w:p>
            <w:pPr>
              <w:pStyle w:val="LOnormal5"/>
              <w:widowControl w:val="false"/>
              <w:rPr>
                <w:color w:val="000000"/>
                <w:lang w:val="pt-BR" w:eastAsia="zh-CN" w:bidi="hi-IN"/>
              </w:rPr>
            </w:pPr>
            <w:r>
              <w:rPr>
                <w:color w:val="000000"/>
                <w:lang w:val="pt-BR" w:eastAsia="zh-CN" w:bidi="hi-IN"/>
              </w:rPr>
            </w:r>
          </w:p>
        </w:tc>
        <w:tc>
          <w:tcPr>
            <w:tcW w:w="972" w:type="dxa"/>
            <w:tcBorders>
              <w:top w:val="single" w:sz="6" w:space="0" w:color="000000"/>
              <w:bottom w:val="single" w:sz="6" w:space="0" w:color="000000"/>
            </w:tcBorders>
          </w:tcPr>
          <w:p>
            <w:pPr>
              <w:pStyle w:val="LOnormal5"/>
              <w:widowControl w:val="false"/>
              <w:rPr>
                <w:color w:val="000000"/>
                <w:lang w:val="pt-BR" w:eastAsia="zh-CN" w:bidi="hi-IN"/>
              </w:rPr>
            </w:pPr>
            <w:r>
              <w:rPr>
                <w:color w:val="000000"/>
                <w:lang w:val="pt-BR" w:eastAsia="zh-CN" w:bidi="hi-IN"/>
              </w:rPr>
            </w:r>
          </w:p>
        </w:tc>
      </w:tr>
      <w:tr>
        <w:trPr>
          <w:trHeight w:val="328" w:hRule="atLeast"/>
        </w:trPr>
        <w:tc>
          <w:tcPr>
            <w:tcW w:w="3437" w:type="dxa"/>
            <w:tcBorders>
              <w:top w:val="single" w:sz="6" w:space="0" w:color="000000"/>
              <w:bottom w:val="single" w:sz="6" w:space="0" w:color="000000"/>
            </w:tcBorders>
          </w:tcPr>
          <w:p>
            <w:pPr>
              <w:pStyle w:val="LOnormal5"/>
              <w:widowControl w:val="false"/>
              <w:jc w:val="center"/>
              <w:rPr>
                <w:rFonts w:ascii="Arial" w:hAnsi="Arial" w:eastAsia="Arial" w:cs="Arial"/>
                <w:sz w:val="20"/>
                <w:szCs w:val="20"/>
              </w:rPr>
            </w:pPr>
            <w:r>
              <w:rPr>
                <w:rFonts w:eastAsia="Arial" w:cs="Arial" w:ascii="Arial" w:hAnsi="Arial"/>
                <w:sz w:val="20"/>
                <w:szCs w:val="20"/>
              </w:rPr>
            </w:r>
          </w:p>
        </w:tc>
        <w:tc>
          <w:tcPr>
            <w:tcW w:w="1210" w:type="dxa"/>
            <w:tcBorders>
              <w:top w:val="single" w:sz="6" w:space="0" w:color="000000"/>
              <w:bottom w:val="single" w:sz="6" w:space="0" w:color="000000"/>
            </w:tcBorders>
          </w:tcPr>
          <w:p>
            <w:pPr>
              <w:pStyle w:val="LOnormal5"/>
              <w:widowControl w:val="false"/>
              <w:jc w:val="center"/>
              <w:rPr>
                <w:color w:val="000000"/>
                <w:lang w:val="pt-BR" w:eastAsia="zh-CN" w:bidi="hi-IN"/>
              </w:rPr>
            </w:pPr>
            <w:r>
              <w:rPr>
                <w:rFonts w:eastAsia="Arial" w:cs="Arial" w:ascii="Arial" w:hAnsi="Arial"/>
                <w:color w:val="000000"/>
                <w:sz w:val="20"/>
                <w:szCs w:val="20"/>
                <w:lang w:val="pt-BR" w:eastAsia="zh-CN" w:bidi="hi-IN"/>
              </w:rPr>
              <w:t>SN</w:t>
            </w:r>
          </w:p>
        </w:tc>
        <w:tc>
          <w:tcPr>
            <w:tcW w:w="1213" w:type="dxa"/>
            <w:tcBorders>
              <w:top w:val="single" w:sz="6" w:space="0" w:color="000000"/>
              <w:bottom w:val="single" w:sz="6" w:space="0" w:color="000000"/>
            </w:tcBorders>
          </w:tcPr>
          <w:p>
            <w:pPr>
              <w:pStyle w:val="LOnormal5"/>
              <w:widowControl w:val="false"/>
              <w:jc w:val="center"/>
              <w:rPr>
                <w:color w:val="000000"/>
                <w:lang w:val="pt-BR" w:eastAsia="zh-CN" w:bidi="hi-IN"/>
              </w:rPr>
            </w:pPr>
            <w:r>
              <w:rPr>
                <w:rFonts w:eastAsia="Arial" w:cs="Arial" w:ascii="Arial" w:hAnsi="Arial"/>
                <w:color w:val="000000"/>
                <w:sz w:val="20"/>
                <w:szCs w:val="20"/>
                <w:lang w:val="pt-BR" w:eastAsia="zh-CN" w:bidi="hi-IN"/>
              </w:rPr>
              <w:t>NF</w:t>
            </w:r>
          </w:p>
        </w:tc>
        <w:tc>
          <w:tcPr>
            <w:tcW w:w="1207" w:type="dxa"/>
            <w:tcBorders>
              <w:top w:val="single" w:sz="6" w:space="0" w:color="000000"/>
              <w:bottom w:val="single" w:sz="6" w:space="0" w:color="000000"/>
            </w:tcBorders>
          </w:tcPr>
          <w:p>
            <w:pPr>
              <w:pStyle w:val="LOnormal5"/>
              <w:widowControl w:val="false"/>
              <w:jc w:val="center"/>
              <w:rPr>
                <w:color w:val="000000"/>
                <w:lang w:val="pt-BR" w:eastAsia="zh-CN" w:bidi="hi-IN"/>
              </w:rPr>
            </w:pPr>
            <w:r>
              <w:rPr>
                <w:rFonts w:eastAsia="Arial" w:cs="Arial" w:ascii="Arial" w:hAnsi="Arial"/>
                <w:color w:val="000000"/>
                <w:sz w:val="20"/>
                <w:szCs w:val="20"/>
                <w:lang w:val="pt-BR" w:eastAsia="zh-CN" w:bidi="hi-IN"/>
              </w:rPr>
              <w:t>NT</w:t>
            </w:r>
          </w:p>
        </w:tc>
        <w:tc>
          <w:tcPr>
            <w:tcW w:w="1122" w:type="dxa"/>
            <w:tcBorders>
              <w:top w:val="single" w:sz="6" w:space="0" w:color="000000"/>
              <w:bottom w:val="single" w:sz="6" w:space="0" w:color="000000"/>
            </w:tcBorders>
          </w:tcPr>
          <w:p>
            <w:pPr>
              <w:pStyle w:val="LOnormal5"/>
              <w:widowControl w:val="false"/>
              <w:jc w:val="center"/>
              <w:rPr>
                <w:color w:val="000000"/>
                <w:lang w:val="pt-BR" w:eastAsia="zh-CN" w:bidi="hi-IN"/>
              </w:rPr>
            </w:pPr>
            <w:r>
              <w:rPr>
                <w:rFonts w:eastAsia="Arial" w:cs="Arial" w:ascii="Arial" w:hAnsi="Arial"/>
                <w:color w:val="000000"/>
                <w:sz w:val="20"/>
                <w:szCs w:val="20"/>
                <w:lang w:val="pt-BR" w:eastAsia="zh-CN" w:bidi="hi-IN"/>
              </w:rPr>
              <w:t>valor-p </w:t>
            </w:r>
          </w:p>
        </w:tc>
        <w:tc>
          <w:tcPr>
            <w:tcW w:w="972" w:type="dxa"/>
            <w:tcBorders>
              <w:top w:val="single" w:sz="6" w:space="0" w:color="000000"/>
              <w:bottom w:val="single" w:sz="6" w:space="0" w:color="000000"/>
            </w:tcBorders>
          </w:tcPr>
          <w:p>
            <w:pPr>
              <w:pStyle w:val="LOnormal5"/>
              <w:widowControl w:val="false"/>
              <w:jc w:val="center"/>
              <w:rPr>
                <w:color w:val="000000"/>
                <w:lang w:val="pt-BR" w:eastAsia="zh-CN" w:bidi="hi-IN"/>
              </w:rPr>
            </w:pPr>
            <w:r>
              <w:rPr>
                <w:rFonts w:eastAsia="Arial" w:cs="Arial" w:ascii="Arial" w:hAnsi="Arial"/>
                <w:color w:val="000000"/>
                <w:sz w:val="20"/>
                <w:szCs w:val="20"/>
                <w:lang w:val="pt-BR" w:eastAsia="zh-CN" w:bidi="hi-IN"/>
              </w:rPr>
              <w:t>CV%</w:t>
            </w:r>
          </w:p>
        </w:tc>
      </w:tr>
      <w:tr>
        <w:trPr>
          <w:trHeight w:val="328" w:hRule="atLeast"/>
        </w:trPr>
        <w:tc>
          <w:tcPr>
            <w:tcW w:w="3437" w:type="dxa"/>
            <w:tcBorders>
              <w:top w:val="single" w:sz="6" w:space="0" w:color="000000"/>
            </w:tcBorders>
          </w:tcPr>
          <w:p>
            <w:pPr>
              <w:pStyle w:val="LOnormal5"/>
              <w:widowControl w:val="false"/>
              <w:rPr>
                <w:color w:val="000000"/>
                <w:lang w:val="pt-BR" w:eastAsia="zh-CN" w:bidi="hi-IN"/>
              </w:rPr>
            </w:pPr>
            <w:r>
              <w:rPr>
                <w:rFonts w:eastAsia="Arial" w:cs="Arial" w:ascii="Arial" w:hAnsi="Arial"/>
                <w:color w:val="000000"/>
                <w:sz w:val="22"/>
                <w:szCs w:val="22"/>
                <w:lang w:val="pt-BR" w:eastAsia="zh-CN" w:bidi="hi-IN"/>
              </w:rPr>
              <w:t xml:space="preserve">TxAc Es </w:t>
            </w:r>
            <w:r>
              <w:rPr>
                <w:rFonts w:eastAsia="Arial" w:cs="Arial" w:ascii="Arial" w:hAnsi="Arial"/>
                <w:b/>
                <w:color w:val="000000"/>
                <w:sz w:val="20"/>
                <w:szCs w:val="20"/>
                <w:lang w:val="pt-BR" w:eastAsia="zh-CN" w:bidi="hi-IN"/>
              </w:rPr>
              <w:t>(kg.MS ha</w:t>
            </w:r>
            <w:r>
              <w:rPr>
                <w:rFonts w:eastAsia="Arial" w:cs="Arial" w:ascii="Arial" w:hAnsi="Arial"/>
                <w:b/>
                <w:color w:val="000000"/>
                <w:sz w:val="12"/>
                <w:szCs w:val="12"/>
                <w:vertAlign w:val="superscript"/>
                <w:lang w:val="pt-BR" w:eastAsia="zh-CN" w:bidi="hi-IN"/>
              </w:rPr>
              <w:t xml:space="preserve">-1 </w:t>
            </w:r>
            <w:r>
              <w:rPr>
                <w:rFonts w:eastAsia="Arial" w:cs="Arial" w:ascii="Arial" w:hAnsi="Arial"/>
                <w:b/>
                <w:color w:val="000000"/>
                <w:sz w:val="20"/>
                <w:szCs w:val="20"/>
                <w:lang w:val="pt-BR" w:eastAsia="zh-CN" w:bidi="hi-IN"/>
              </w:rPr>
              <w:t xml:space="preserve">dia </w:t>
            </w:r>
            <w:r>
              <w:rPr>
                <w:rFonts w:eastAsia="Arial" w:cs="Arial" w:ascii="Arial" w:hAnsi="Arial"/>
                <w:b/>
                <w:color w:val="000000"/>
                <w:sz w:val="12"/>
                <w:szCs w:val="12"/>
                <w:vertAlign w:val="superscript"/>
                <w:lang w:val="pt-BR" w:eastAsia="zh-CN" w:bidi="hi-IN"/>
              </w:rPr>
              <w:t>-1</w:t>
            </w:r>
            <w:r>
              <w:rPr>
                <w:rFonts w:eastAsia="Arial" w:cs="Arial" w:ascii="Arial" w:hAnsi="Arial"/>
                <w:b/>
                <w:color w:val="000000"/>
                <w:sz w:val="20"/>
                <w:szCs w:val="20"/>
                <w:lang w:val="pt-BR" w:eastAsia="zh-CN" w:bidi="hi-IN"/>
              </w:rPr>
              <w:t>)</w:t>
            </w:r>
          </w:p>
        </w:tc>
        <w:tc>
          <w:tcPr>
            <w:tcW w:w="1210" w:type="dxa"/>
            <w:tcBorders>
              <w:top w:val="single" w:sz="6" w:space="0" w:color="000000"/>
            </w:tcBorders>
          </w:tcPr>
          <w:p>
            <w:pPr>
              <w:pStyle w:val="LOnormal5"/>
              <w:widowControl w:val="false"/>
              <w:jc w:val="center"/>
              <w:rPr>
                <w:color w:val="000000"/>
                <w:lang w:val="pt-BR" w:eastAsia="zh-CN" w:bidi="hi-IN"/>
              </w:rPr>
            </w:pPr>
            <w:r>
              <w:rPr>
                <w:rFonts w:eastAsia="Arial" w:cs="Arial" w:ascii="Arial" w:hAnsi="Arial"/>
                <w:color w:val="000000"/>
                <w:sz w:val="22"/>
                <w:szCs w:val="22"/>
                <w:lang w:val="pt-BR" w:eastAsia="zh-CN" w:bidi="hi-IN"/>
              </w:rPr>
              <w:t>12.81 b</w:t>
            </w:r>
          </w:p>
        </w:tc>
        <w:tc>
          <w:tcPr>
            <w:tcW w:w="1213" w:type="dxa"/>
            <w:tcBorders>
              <w:top w:val="single" w:sz="6" w:space="0" w:color="000000"/>
            </w:tcBorders>
          </w:tcPr>
          <w:p>
            <w:pPr>
              <w:pStyle w:val="LOnormal5"/>
              <w:widowControl w:val="false"/>
              <w:jc w:val="center"/>
              <w:rPr>
                <w:color w:val="000000"/>
                <w:lang w:val="pt-BR" w:eastAsia="zh-CN" w:bidi="hi-IN"/>
              </w:rPr>
            </w:pPr>
            <w:r>
              <w:rPr>
                <w:rFonts w:eastAsia="Arial" w:cs="Arial" w:ascii="Arial" w:hAnsi="Arial"/>
                <w:color w:val="000000"/>
                <w:sz w:val="22"/>
                <w:szCs w:val="22"/>
                <w:lang w:val="pt-BR" w:eastAsia="zh-CN" w:bidi="hi-IN"/>
              </w:rPr>
              <w:t>13.85 b</w:t>
            </w:r>
          </w:p>
        </w:tc>
        <w:tc>
          <w:tcPr>
            <w:tcW w:w="1207" w:type="dxa"/>
            <w:tcBorders>
              <w:top w:val="single" w:sz="6" w:space="0" w:color="000000"/>
            </w:tcBorders>
          </w:tcPr>
          <w:p>
            <w:pPr>
              <w:pStyle w:val="LOnormal5"/>
              <w:widowControl w:val="false"/>
              <w:jc w:val="center"/>
              <w:rPr>
                <w:color w:val="000000"/>
                <w:lang w:val="pt-BR" w:eastAsia="zh-CN" w:bidi="hi-IN"/>
              </w:rPr>
            </w:pPr>
            <w:r>
              <w:rPr>
                <w:rFonts w:eastAsia="Arial" w:cs="Arial" w:ascii="Arial" w:hAnsi="Arial"/>
                <w:color w:val="000000"/>
                <w:sz w:val="22"/>
                <w:szCs w:val="22"/>
                <w:lang w:val="pt-BR" w:eastAsia="zh-CN" w:bidi="hi-IN"/>
              </w:rPr>
              <w:t>18.99 a</w:t>
            </w:r>
          </w:p>
        </w:tc>
        <w:tc>
          <w:tcPr>
            <w:tcW w:w="1122" w:type="dxa"/>
            <w:tcBorders>
              <w:top w:val="single" w:sz="6" w:space="0" w:color="000000"/>
            </w:tcBorders>
          </w:tcPr>
          <w:p>
            <w:pPr>
              <w:pStyle w:val="LOnormal5"/>
              <w:widowControl w:val="false"/>
              <w:jc w:val="center"/>
              <w:rPr>
                <w:color w:val="000000"/>
                <w:lang w:val="pt-BR" w:eastAsia="zh-CN" w:bidi="hi-IN"/>
              </w:rPr>
            </w:pPr>
            <w:r>
              <w:rPr>
                <w:rFonts w:eastAsia="Arial" w:cs="Arial" w:ascii="Arial" w:hAnsi="Arial"/>
                <w:color w:val="000000"/>
                <w:sz w:val="22"/>
                <w:szCs w:val="22"/>
                <w:lang w:val="pt-BR" w:eastAsia="zh-CN" w:bidi="hi-IN"/>
              </w:rPr>
              <w:t>0.03</w:t>
            </w:r>
          </w:p>
        </w:tc>
        <w:tc>
          <w:tcPr>
            <w:tcW w:w="972" w:type="dxa"/>
            <w:tcBorders>
              <w:top w:val="single" w:sz="6" w:space="0" w:color="000000"/>
            </w:tcBorders>
          </w:tcPr>
          <w:p>
            <w:pPr>
              <w:pStyle w:val="LOnormal5"/>
              <w:widowControl w:val="false"/>
              <w:jc w:val="center"/>
              <w:rPr>
                <w:color w:val="000000"/>
                <w:lang w:val="pt-BR" w:eastAsia="zh-CN" w:bidi="hi-IN"/>
              </w:rPr>
            </w:pPr>
            <w:r>
              <w:rPr>
                <w:rFonts w:eastAsia="Arial" w:cs="Arial" w:ascii="Arial" w:hAnsi="Arial"/>
                <w:color w:val="000000"/>
                <w:sz w:val="22"/>
                <w:szCs w:val="22"/>
                <w:lang w:val="pt-BR" w:eastAsia="zh-CN" w:bidi="hi-IN"/>
              </w:rPr>
              <w:t>17.28</w:t>
            </w:r>
          </w:p>
        </w:tc>
      </w:tr>
      <w:tr>
        <w:trPr>
          <w:trHeight w:val="328" w:hRule="atLeast"/>
        </w:trPr>
        <w:tc>
          <w:tcPr>
            <w:tcW w:w="3437" w:type="dxa"/>
            <w:tcBorders>
              <w:bottom w:val="single" w:sz="4" w:space="0" w:color="000000"/>
            </w:tcBorders>
          </w:tcPr>
          <w:p>
            <w:pPr>
              <w:pStyle w:val="LOnormal5"/>
              <w:widowControl w:val="false"/>
              <w:ind w:right="-11" w:hanging="0"/>
              <w:jc w:val="both"/>
              <w:rPr>
                <w:color w:val="000000"/>
                <w:lang w:val="pt-BR" w:eastAsia="zh-CN" w:bidi="hi-IN"/>
              </w:rPr>
            </w:pPr>
            <w:r>
              <w:rPr>
                <w:rFonts w:eastAsia="Arial" w:cs="Arial" w:ascii="Arial" w:hAnsi="Arial"/>
                <w:color w:val="000000"/>
                <w:sz w:val="22"/>
                <w:szCs w:val="22"/>
                <w:lang w:val="pt-BR" w:eastAsia="zh-CN" w:bidi="hi-IN"/>
              </w:rPr>
              <w:t xml:space="preserve">TxAc-m </w:t>
            </w:r>
            <w:r>
              <w:rPr>
                <w:rFonts w:eastAsia="Arial" w:cs="Arial" w:ascii="Arial" w:hAnsi="Arial"/>
                <w:b/>
                <w:color w:val="000000"/>
                <w:sz w:val="20"/>
                <w:szCs w:val="20"/>
                <w:lang w:val="pt-BR" w:eastAsia="zh-CN" w:bidi="hi-IN"/>
              </w:rPr>
              <w:t>(kg.MS ha</w:t>
            </w:r>
            <w:r>
              <w:rPr>
                <w:rFonts w:eastAsia="Arial" w:cs="Arial" w:ascii="Arial" w:hAnsi="Arial"/>
                <w:b/>
                <w:color w:val="000000"/>
                <w:sz w:val="12"/>
                <w:szCs w:val="12"/>
                <w:vertAlign w:val="superscript"/>
                <w:lang w:val="pt-BR" w:eastAsia="zh-CN" w:bidi="hi-IN"/>
              </w:rPr>
              <w:t xml:space="preserve">-1 </w:t>
            </w:r>
            <w:r>
              <w:rPr>
                <w:rFonts w:eastAsia="Arial" w:cs="Arial" w:ascii="Arial" w:hAnsi="Arial"/>
                <w:b/>
                <w:color w:val="000000"/>
                <w:sz w:val="20"/>
                <w:szCs w:val="20"/>
                <w:lang w:val="pt-BR" w:eastAsia="zh-CN" w:bidi="hi-IN"/>
              </w:rPr>
              <w:t xml:space="preserve">dia </w:t>
            </w:r>
            <w:r>
              <w:rPr>
                <w:rFonts w:eastAsia="Arial" w:cs="Arial" w:ascii="Arial" w:hAnsi="Arial"/>
                <w:b/>
                <w:color w:val="000000"/>
                <w:sz w:val="12"/>
                <w:szCs w:val="12"/>
                <w:vertAlign w:val="superscript"/>
                <w:lang w:val="pt-BR" w:eastAsia="zh-CN" w:bidi="hi-IN"/>
              </w:rPr>
              <w:t>-1</w:t>
            </w:r>
            <w:r>
              <w:rPr>
                <w:rFonts w:eastAsia="Arial" w:cs="Arial" w:ascii="Arial" w:hAnsi="Arial"/>
                <w:b/>
                <w:color w:val="000000"/>
                <w:sz w:val="20"/>
                <w:szCs w:val="20"/>
                <w:lang w:val="pt-BR" w:eastAsia="zh-CN" w:bidi="hi-IN"/>
              </w:rPr>
              <w:t>)</w:t>
            </w:r>
          </w:p>
        </w:tc>
        <w:tc>
          <w:tcPr>
            <w:tcW w:w="1210" w:type="dxa"/>
            <w:tcBorders>
              <w:bottom w:val="single" w:sz="4" w:space="0" w:color="000000"/>
            </w:tcBorders>
          </w:tcPr>
          <w:p>
            <w:pPr>
              <w:pStyle w:val="LOnormal5"/>
              <w:widowControl w:val="false"/>
              <w:jc w:val="center"/>
              <w:rPr>
                <w:color w:val="000000"/>
                <w:lang w:val="pt-BR" w:eastAsia="zh-CN" w:bidi="hi-IN"/>
              </w:rPr>
            </w:pPr>
            <w:r>
              <w:rPr>
                <w:rFonts w:eastAsia="Arial" w:cs="Arial" w:ascii="Arial" w:hAnsi="Arial"/>
                <w:color w:val="000000"/>
                <w:sz w:val="22"/>
                <w:szCs w:val="22"/>
                <w:lang w:val="pt-BR" w:eastAsia="zh-CN" w:bidi="hi-IN"/>
              </w:rPr>
              <w:t>22.40 b</w:t>
            </w:r>
          </w:p>
        </w:tc>
        <w:tc>
          <w:tcPr>
            <w:tcW w:w="1213" w:type="dxa"/>
            <w:tcBorders>
              <w:bottom w:val="single" w:sz="4" w:space="0" w:color="000000"/>
            </w:tcBorders>
          </w:tcPr>
          <w:p>
            <w:pPr>
              <w:pStyle w:val="LOnormal5"/>
              <w:widowControl w:val="false"/>
              <w:jc w:val="center"/>
              <w:rPr>
                <w:color w:val="000000"/>
                <w:lang w:val="pt-BR" w:eastAsia="zh-CN" w:bidi="hi-IN"/>
              </w:rPr>
            </w:pPr>
            <w:r>
              <w:rPr>
                <w:rFonts w:eastAsia="Arial" w:cs="Arial" w:ascii="Arial" w:hAnsi="Arial"/>
                <w:color w:val="000000"/>
                <w:sz w:val="22"/>
                <w:szCs w:val="22"/>
                <w:lang w:val="pt-BR" w:eastAsia="zh-CN" w:bidi="hi-IN"/>
              </w:rPr>
              <w:t>43.57 a</w:t>
            </w:r>
          </w:p>
        </w:tc>
        <w:tc>
          <w:tcPr>
            <w:tcW w:w="1207" w:type="dxa"/>
            <w:tcBorders>
              <w:bottom w:val="single" w:sz="4" w:space="0" w:color="000000"/>
            </w:tcBorders>
          </w:tcPr>
          <w:p>
            <w:pPr>
              <w:pStyle w:val="LOnormal5"/>
              <w:widowControl w:val="false"/>
              <w:jc w:val="center"/>
              <w:rPr>
                <w:color w:val="000000"/>
                <w:lang w:val="pt-BR" w:eastAsia="zh-CN" w:bidi="hi-IN"/>
              </w:rPr>
            </w:pPr>
            <w:r>
              <w:rPr>
                <w:rFonts w:eastAsia="Arial" w:cs="Arial" w:ascii="Arial" w:hAnsi="Arial"/>
                <w:color w:val="000000"/>
                <w:sz w:val="22"/>
                <w:szCs w:val="22"/>
                <w:lang w:val="pt-BR" w:eastAsia="zh-CN" w:bidi="hi-IN"/>
              </w:rPr>
              <w:t>39.85 a</w:t>
            </w:r>
          </w:p>
        </w:tc>
        <w:tc>
          <w:tcPr>
            <w:tcW w:w="1122" w:type="dxa"/>
            <w:tcBorders>
              <w:bottom w:val="single" w:sz="4" w:space="0" w:color="000000"/>
            </w:tcBorders>
          </w:tcPr>
          <w:p>
            <w:pPr>
              <w:pStyle w:val="LOnormal5"/>
              <w:widowControl w:val="false"/>
              <w:jc w:val="center"/>
              <w:rPr>
                <w:color w:val="000000"/>
                <w:lang w:val="pt-BR" w:eastAsia="zh-CN" w:bidi="hi-IN"/>
              </w:rPr>
            </w:pPr>
            <w:r>
              <w:rPr>
                <w:rFonts w:eastAsia="Arial" w:cs="Arial" w:ascii="Arial" w:hAnsi="Arial"/>
                <w:color w:val="000000"/>
                <w:sz w:val="22"/>
                <w:szCs w:val="22"/>
                <w:lang w:val="pt-BR" w:eastAsia="zh-CN" w:bidi="hi-IN"/>
              </w:rPr>
              <w:t>0.005</w:t>
            </w:r>
          </w:p>
        </w:tc>
        <w:tc>
          <w:tcPr>
            <w:tcW w:w="972" w:type="dxa"/>
            <w:tcBorders>
              <w:bottom w:val="single" w:sz="4" w:space="0" w:color="000000"/>
            </w:tcBorders>
          </w:tcPr>
          <w:p>
            <w:pPr>
              <w:pStyle w:val="LOnormal5"/>
              <w:widowControl w:val="false"/>
              <w:jc w:val="center"/>
              <w:rPr>
                <w:color w:val="000000"/>
                <w:lang w:val="pt-BR" w:eastAsia="zh-CN" w:bidi="hi-IN"/>
              </w:rPr>
            </w:pPr>
            <w:r>
              <w:rPr>
                <w:rFonts w:eastAsia="Arial" w:cs="Arial" w:ascii="Arial" w:hAnsi="Arial"/>
                <w:color w:val="000000"/>
                <w:sz w:val="22"/>
                <w:szCs w:val="22"/>
                <w:lang w:val="pt-BR" w:eastAsia="zh-CN" w:bidi="hi-IN"/>
              </w:rPr>
              <w:t>17.07</w:t>
            </w:r>
          </w:p>
        </w:tc>
      </w:tr>
    </w:tbl>
    <w:p>
      <w:pPr>
        <w:pStyle w:val="LOnormal5"/>
        <w:jc w:val="center"/>
        <w:rPr>
          <w:lang w:val="pt-BR" w:eastAsia="zh-CN" w:bidi="hi-IN"/>
        </w:rPr>
      </w:pPr>
      <w:r>
        <w:rPr>
          <w:rFonts w:eastAsia="Arial" w:cs="Arial" w:ascii="Arial" w:hAnsi="Arial"/>
          <w:b/>
          <w:color w:val="000000"/>
          <w:sz w:val="20"/>
          <w:szCs w:val="20"/>
          <w:lang w:val="pt-BR" w:eastAsia="zh-CN" w:bidi="hi-IN"/>
        </w:rPr>
        <w:t>* As médias seguidas de letras minúsculas diferentes diferem (P &lt; 0,05) pelo teste de Duncan.</w:t>
      </w:r>
    </w:p>
    <w:p>
      <w:pPr>
        <w:pStyle w:val="LOnormal5"/>
        <w:jc w:val="both"/>
        <w:rPr>
          <w:lang w:val="pt-BR" w:eastAsia="zh-CN" w:bidi="hi-IN"/>
        </w:rPr>
      </w:pPr>
      <w:r>
        <w:rPr>
          <w:rFonts w:eastAsia="Arial" w:cs="Arial" w:ascii="Arial" w:hAnsi="Arial"/>
          <w:b/>
          <w:color w:val="000000"/>
          <w:sz w:val="22"/>
          <w:szCs w:val="22"/>
          <w:lang w:val="pt-BR" w:eastAsia="zh-CN" w:bidi="hi-IN"/>
        </w:rPr>
        <w:t xml:space="preserve">      </w:t>
      </w:r>
      <w:r>
        <w:rPr>
          <w:rFonts w:eastAsia="Arial" w:cs="Arial" w:ascii="Arial" w:hAnsi="Arial"/>
          <w:color w:val="000000"/>
          <w:sz w:val="22"/>
          <w:szCs w:val="22"/>
          <w:lang w:val="pt-BR" w:eastAsia="zh-CN" w:bidi="hi-IN"/>
        </w:rPr>
        <w:t xml:space="preserve">                   </w:t>
      </w:r>
    </w:p>
    <w:p>
      <w:pPr>
        <w:pStyle w:val="LOnormal5"/>
        <w:jc w:val="both"/>
        <w:rPr>
          <w:lang w:val="pt-BR" w:eastAsia="zh-CN" w:bidi="hi-IN"/>
        </w:rPr>
      </w:pPr>
      <w:r>
        <w:rPr>
          <w:rFonts w:eastAsia="Arial" w:cs="Arial" w:ascii="Arial" w:hAnsi="Arial"/>
          <w:b/>
          <w:color w:val="000000"/>
          <w:sz w:val="22"/>
          <w:szCs w:val="22"/>
          <w:lang w:val="pt-BR" w:eastAsia="zh-CN" w:bidi="hi-IN"/>
        </w:rPr>
        <w:t>Conclusão</w:t>
      </w:r>
      <w:r>
        <w:rPr>
          <w:rFonts w:eastAsia="Arial" w:cs="Arial" w:ascii="Arial" w:hAnsi="Arial"/>
          <w:color w:val="000000"/>
          <w:sz w:val="22"/>
          <w:szCs w:val="22"/>
          <w:lang w:val="pt-BR" w:eastAsia="zh-CN" w:bidi="hi-IN"/>
        </w:rPr>
        <w:t>: A aplicação total ou fracionada não altera a produção de forragem. Ambas proporcionam a antecipação da entrada dos animais ao pastejo, diminuindo o vazio forrageiro de outono e oportunizando um maior número de pastejos, maior taxa de ocupação, maior taxa de acúmulo diária e produção de forragem.</w:t>
      </w:r>
    </w:p>
    <w:p>
      <w:pPr>
        <w:pStyle w:val="LOnormal5"/>
        <w:jc w:val="both"/>
        <w:rPr>
          <w:rFonts w:ascii="Arial" w:hAnsi="Arial" w:eastAsia="Arial" w:cs="Arial"/>
          <w:color w:val="000000"/>
          <w:sz w:val="22"/>
          <w:szCs w:val="22"/>
          <w:lang w:val="pt-BR" w:eastAsia="zh-CN" w:bidi="hi-IN"/>
        </w:rPr>
      </w:pPr>
      <w:r>
        <w:rPr>
          <w:rFonts w:eastAsia="Arial" w:cs="Arial" w:ascii="Arial" w:hAnsi="Arial"/>
          <w:color w:val="000000"/>
          <w:sz w:val="22"/>
          <w:szCs w:val="22"/>
          <w:lang w:val="pt-BR" w:eastAsia="zh-CN" w:bidi="hi-IN"/>
        </w:rPr>
      </w:r>
    </w:p>
    <w:p>
      <w:pPr>
        <w:pStyle w:val="LOnormal5"/>
        <w:jc w:val="both"/>
        <w:rPr>
          <w:lang w:val="pt-BR" w:eastAsia="zh-CN" w:bidi="hi-IN"/>
        </w:rPr>
      </w:pPr>
      <w:r>
        <w:rPr>
          <w:rFonts w:eastAsia="Arial" w:cs="Arial" w:ascii="Arial" w:hAnsi="Arial"/>
          <w:b/>
          <w:color w:val="000000"/>
          <w:sz w:val="22"/>
          <w:szCs w:val="22"/>
          <w:lang w:val="pt-BR" w:eastAsia="zh-CN" w:bidi="hi-IN"/>
        </w:rPr>
        <w:t xml:space="preserve">Agradecimento: </w:t>
      </w:r>
      <w:r>
        <w:rPr>
          <w:rFonts w:eastAsia="Arial" w:cs="Arial" w:ascii="Arial" w:hAnsi="Arial"/>
          <w:color w:val="000000"/>
          <w:sz w:val="22"/>
          <w:szCs w:val="22"/>
          <w:lang w:val="pt-BR" w:eastAsia="zh-CN" w:bidi="hi-IN"/>
        </w:rPr>
        <w:t>EPAGRI; UTFPR; UNIEDU. E o fomento da FAPESC, Termo de Outorga No: 2021TR001353.</w:t>
      </w:r>
    </w:p>
    <w:p>
      <w:pPr>
        <w:pStyle w:val="LOnormal5"/>
        <w:jc w:val="both"/>
        <w:rPr>
          <w:rFonts w:ascii="Arial" w:hAnsi="Arial" w:eastAsia="Arial" w:cs="Arial"/>
          <w:b/>
          <w:b/>
          <w:color w:val="000000"/>
          <w:sz w:val="22"/>
          <w:szCs w:val="22"/>
          <w:lang w:val="pt-BR" w:eastAsia="zh-CN" w:bidi="hi-IN"/>
        </w:rPr>
      </w:pPr>
      <w:r>
        <w:rPr>
          <w:rFonts w:eastAsia="Arial" w:cs="Arial" w:ascii="Arial" w:hAnsi="Arial"/>
          <w:b/>
          <w:color w:val="000000"/>
          <w:sz w:val="22"/>
          <w:szCs w:val="22"/>
          <w:lang w:val="pt-BR" w:eastAsia="zh-CN" w:bidi="hi-IN"/>
        </w:rPr>
      </w:r>
    </w:p>
    <w:p>
      <w:pPr>
        <w:pStyle w:val="LOnormal5"/>
        <w:jc w:val="both"/>
        <w:rPr>
          <w:lang w:val="pt-BR" w:eastAsia="zh-CN" w:bidi="hi-IN"/>
        </w:rPr>
      </w:pPr>
      <w:r>
        <w:rPr>
          <w:rFonts w:eastAsia="Arial" w:cs="Arial" w:ascii="Arial" w:hAnsi="Arial"/>
          <w:b/>
          <w:color w:val="000000"/>
          <w:sz w:val="22"/>
          <w:szCs w:val="22"/>
          <w:lang w:val="pt-BR" w:eastAsia="zh-CN" w:bidi="hi-IN"/>
        </w:rPr>
        <w:t xml:space="preserve">Referências: </w:t>
      </w:r>
    </w:p>
    <w:p>
      <w:pPr>
        <w:pStyle w:val="LOnormal5"/>
        <w:jc w:val="both"/>
        <w:rPr>
          <w:lang w:val="pt-BR" w:eastAsia="zh-CN" w:bidi="hi-IN"/>
        </w:rPr>
      </w:pPr>
      <w:r>
        <w:rPr>
          <w:rFonts w:eastAsia="Arial" w:cs="Arial" w:ascii="Arial" w:hAnsi="Arial"/>
          <w:color w:val="000000"/>
          <w:sz w:val="21"/>
          <w:szCs w:val="21"/>
          <w:lang w:val="pt-BR" w:eastAsia="zh-CN" w:bidi="hi-IN"/>
        </w:rPr>
        <w:t xml:space="preserve">CINAR, S.; OZKURT, M.; CETIN, R. EFFECTS OF NITROGEN FERTILIZATION RATES ON FORAGE YIELD AND QUALITY OF ANNUAL RYEGRASS (LOLIUM MULTIFLORUM L.) IN CENTRAL BLACK SEA CLIMATIC ZONE IN TURKEY. </w:t>
      </w:r>
      <w:r>
        <w:rPr>
          <w:rFonts w:eastAsia="Arial" w:cs="Arial" w:ascii="Arial" w:hAnsi="Arial"/>
          <w:i/>
          <w:color w:val="000000"/>
          <w:sz w:val="21"/>
          <w:szCs w:val="21"/>
          <w:lang w:val="pt-BR" w:eastAsia="zh-CN" w:bidi="hi-IN"/>
        </w:rPr>
        <w:t>Applied Ecology &amp; Environmental Research</w:t>
      </w:r>
      <w:r>
        <w:rPr>
          <w:rFonts w:eastAsia="Arial" w:cs="Arial" w:ascii="Arial" w:hAnsi="Arial"/>
          <w:color w:val="000000"/>
          <w:sz w:val="21"/>
          <w:szCs w:val="21"/>
          <w:lang w:val="pt-BR" w:eastAsia="zh-CN" w:bidi="hi-IN"/>
        </w:rPr>
        <w:t>, v. 18, n. 1, 2020.</w:t>
      </w:r>
    </w:p>
    <w:p>
      <w:pPr>
        <w:pStyle w:val="LOnormal5"/>
        <w:jc w:val="both"/>
        <w:rPr>
          <w:lang w:val="pt-BR" w:eastAsia="zh-CN" w:bidi="hi-IN"/>
        </w:rPr>
      </w:pPr>
      <w:r>
        <w:rPr>
          <w:rFonts w:eastAsia="Arial" w:cs="Arial" w:ascii="Arial" w:hAnsi="Arial"/>
          <w:color w:val="000000"/>
          <w:sz w:val="21"/>
          <w:szCs w:val="21"/>
          <w:lang w:val="pt-BR" w:eastAsia="zh-CN" w:bidi="hi-IN"/>
        </w:rPr>
        <w:t>GASTAL, F.; LEMAIRE, G.; LOUARN, G. Quantifying crop responses to nitrogen and avenues to improve nitrogen-use efficiency. In Crop Physiology: Applications for Genetic Improvement and Agronomy: Second Edition, pp. 161–206. Elsevier Inc. https://doi.org/10.1016/B978-0-12-417104-6.00008-X</w:t>
      </w:r>
    </w:p>
    <w:p>
      <w:pPr>
        <w:pStyle w:val="LOnormal5"/>
        <w:jc w:val="both"/>
        <w:rPr>
          <w:lang w:val="pt-BR" w:eastAsia="zh-CN" w:bidi="hi-IN"/>
        </w:rPr>
      </w:pPr>
      <w:r>
        <w:rPr>
          <w:rFonts w:eastAsia="Arial" w:cs="Arial" w:ascii="Arial" w:hAnsi="Arial"/>
          <w:color w:val="000000"/>
          <w:sz w:val="21"/>
          <w:szCs w:val="21"/>
          <w:lang w:val="pt-BR" w:eastAsia="zh-CN" w:bidi="hi-IN"/>
        </w:rPr>
        <w:t>EMPRESA BRASILEIRA DE PESQUISA AGROPECUÁRIA - EMBRAPA. Sistema brasileiro de classificação de solos. 3.ed. Brasília, 2013. 353p.</w:t>
      </w:r>
    </w:p>
    <w:p>
      <w:pPr>
        <w:pStyle w:val="LOnormal5"/>
        <w:jc w:val="both"/>
        <w:rPr>
          <w:lang w:val="pt-BR" w:eastAsia="zh-CN" w:bidi="hi-IN"/>
        </w:rPr>
      </w:pPr>
      <w:r>
        <w:rPr>
          <w:rFonts w:eastAsia="Arial" w:cs="Arial" w:ascii="Arial" w:hAnsi="Arial"/>
          <w:color w:val="000000"/>
          <w:sz w:val="21"/>
          <w:szCs w:val="21"/>
          <w:lang w:val="pt-BR" w:eastAsia="zh-CN" w:bidi="hi-IN"/>
        </w:rPr>
        <w:t xml:space="preserve">RECH, Â.F.; CÓRDOVA, U.A.; FÁVARO, V.; FLARESSO, J.A. Principais características de cultivares de azevém-anual utilizados no estado de Santa Catarina, Brasil. </w:t>
      </w:r>
      <w:r>
        <w:rPr>
          <w:rFonts w:eastAsia="Arial" w:cs="Arial" w:ascii="Arial" w:hAnsi="Arial"/>
          <w:i/>
          <w:color w:val="000000"/>
          <w:sz w:val="21"/>
          <w:szCs w:val="21"/>
          <w:lang w:val="pt-BR" w:eastAsia="zh-CN" w:bidi="hi-IN"/>
        </w:rPr>
        <w:t>Revista Agropecuária Catarinense</w:t>
      </w:r>
      <w:r>
        <w:rPr>
          <w:rFonts w:eastAsia="Arial" w:cs="Arial" w:ascii="Arial" w:hAnsi="Arial"/>
          <w:color w:val="000000"/>
          <w:sz w:val="21"/>
          <w:szCs w:val="21"/>
          <w:lang w:val="pt-BR" w:eastAsia="zh-CN" w:bidi="hi-IN"/>
        </w:rPr>
        <w:t>, v.35, n.1, 2022.</w:t>
      </w:r>
    </w:p>
    <w:sectPr>
      <w:headerReference w:type="default" r:id="rId2"/>
      <w:footerReference w:type="default" r:id="rId3"/>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swiss"/>
    <w:pitch w:val="variable"/>
  </w:font>
  <w:font w:name="Liberation Sans">
    <w:altName w:val="Arial"/>
    <w:charset w:val="00"/>
    <w:family w:val="roman"/>
    <w:pitch w:val="variable"/>
  </w:font>
  <w:font w:name="Calibri">
    <w:charset w:val="00"/>
    <w:family w:val="roman"/>
    <w:pitch w:val="variable"/>
  </w:font>
  <w:font w:name="Cambria">
    <w:charset w:val="00"/>
    <w:family w:val="roman"/>
    <w:pitch w:val="variable"/>
  </w:font>
  <w:font w:name="Helvetica Neue">
    <w:charset w:val="00"/>
    <w:family w:val="roman"/>
    <w:pitch w:val="variable"/>
  </w:font>
  <w:font w:name="Georgia">
    <w:charset w:val="00"/>
    <w:family w:val="roman"/>
    <w:pitch w:val="variable"/>
  </w:font>
  <w:font w:name="Arial">
    <w:charset w:val="00"/>
    <w:family w:val="roman"/>
    <w:pitch w:val="variable"/>
  </w:font>
  <w:font w:name="Arial">
    <w:altName w:val="sans-serif"/>
    <w:charset w:val="00"/>
    <w:family w:val="roman"/>
    <w:pitch w:val="variable"/>
  </w:font>
  <w:font w:name="Times New Roman">
    <w:altName w:val="serif"/>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5"/>
      <w:tabs>
        <w:tab w:val="clear" w:pos="720"/>
        <w:tab w:val="right" w:pos="9020" w:leader="none"/>
      </w:tabs>
      <w:rPr>
        <w:rFonts w:ascii="Helvetica Neue" w:hAnsi="Helvetica Neue" w:eastAsia="Helvetica Neue" w:cs="Helvetica Neue"/>
        <w:color w:val="000000"/>
      </w:rPr>
    </w:pPr>
    <w:r>
      <w:rPr>
        <w:rFonts w:eastAsia="Helvetica Neue" w:cs="Helvetica Neue" w:ascii="Helvetica Neue" w:hAnsi="Helvetica Neue"/>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5"/>
      <w:rPr>
        <w:rFonts w:ascii="Cambria" w:hAnsi="Cambria" w:eastAsia="Cambria" w:cs="Cambria"/>
      </w:rPr>
    </w:pPr>
    <w:r>
      <w:rPr>
        <w:rFonts w:eastAsia="Cambria" w:cs="Cambria" w:ascii="Cambria" w:hAnsi="Cambria"/>
      </w:rPr>
      <w:drawing>
        <wp:anchor behindDoc="0" distT="152400" distB="152400" distL="152400" distR="152400" simplePos="0" locked="0" layoutInCell="0" allowOverlap="1" relativeHeight="4">
          <wp:simplePos x="0" y="0"/>
          <wp:positionH relativeFrom="page">
            <wp:posOffset>3175</wp:posOffset>
          </wp:positionH>
          <wp:positionV relativeFrom="page">
            <wp:posOffset>-9525</wp:posOffset>
          </wp:positionV>
          <wp:extent cx="7556500" cy="1115060"/>
          <wp:effectExtent l="0" t="0" r="0" b="0"/>
          <wp:wrapTopAndBottom/>
          <wp:docPr id="1" name="image1.jpg"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Cabeçalho SBSS-02.jpg"/>
                  <pic:cNvPicPr>
                    <a:picLocks noChangeAspect="1" noChangeArrowheads="1"/>
                  </pic:cNvPicPr>
                </pic:nvPicPr>
                <pic:blipFill>
                  <a:blip r:embed="rId1"/>
                  <a:stretch>
                    <a:fillRect/>
                  </a:stretch>
                </pic:blipFill>
                <pic:spPr bwMode="auto">
                  <a:xfrm>
                    <a:off x="0" y="0"/>
                    <a:ext cx="7556500" cy="1115060"/>
                  </a:xfrm>
                  <a:prstGeom prst="rect">
                    <a:avLst/>
                  </a:prstGeom>
                </pic:spPr>
              </pic:pic>
            </a:graphicData>
          </a:graphic>
        </wp:anchor>
      </w:drawing>
    </w:r>
  </w:p>
</w:hdr>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color w:val="00000A"/>
        <w:sz w:val="24"/>
        <w:szCs w:val="24"/>
        <w:lang w:val="en-US" w:eastAsia="zh-CN" w:bidi="hi-IN"/>
      </w:rPr>
    </w:rPrDefault>
    <w:pPrDefault>
      <w:pPr>
        <w:suppressAutoHyphens w:val="true"/>
      </w:pPr>
    </w:pPrDefault>
  </w:docDefaults>
  <w:style w:type="paragraph" w:styleId="Normal" w:default="1">
    <w:name w:val="Normal"/>
    <w:qFormat/>
    <w:pPr>
      <w:widowControl/>
      <w:suppressAutoHyphens w:val="true"/>
      <w:bidi w:val="0"/>
      <w:spacing w:before="0" w:after="0"/>
      <w:jc w:val="left"/>
    </w:pPr>
    <w:rPr>
      <w:rFonts w:ascii="Times New Roman" w:hAnsi="Times New Roman" w:eastAsia="Arial Unicode MS" w:cs="Times New Roman"/>
      <w:color w:val="00000A"/>
      <w:kern w:val="0"/>
      <w:sz w:val="24"/>
      <w:szCs w:val="24"/>
      <w:lang w:val="en-US" w:eastAsia="en-US" w:bidi="ar-SA"/>
    </w:rPr>
  </w:style>
  <w:style w:type="paragraph" w:styleId="Ttulo1">
    <w:name w:val="Heading 1"/>
    <w:basedOn w:val="LOnormal5"/>
    <w:next w:val="LOnormal5"/>
    <w:uiPriority w:val="9"/>
    <w:qFormat/>
    <w:pPr>
      <w:keepNext w:val="true"/>
      <w:keepLines/>
      <w:widowControl w:val="false"/>
      <w:spacing w:before="480" w:after="120"/>
      <w:outlineLvl w:val="0"/>
    </w:pPr>
    <w:rPr>
      <w:rFonts w:ascii="Calibri" w:hAnsi="Calibri" w:eastAsia="Calibri" w:cs="Calibri"/>
      <w:b/>
      <w:sz w:val="48"/>
      <w:szCs w:val="48"/>
      <w:lang w:val="pt-BR" w:eastAsia="zh-CN" w:bidi="hi-IN"/>
    </w:rPr>
  </w:style>
  <w:style w:type="paragraph" w:styleId="Ttulo2">
    <w:name w:val="Heading 2"/>
    <w:basedOn w:val="LOnormal5"/>
    <w:next w:val="LOnormal5"/>
    <w:uiPriority w:val="9"/>
    <w:semiHidden/>
    <w:unhideWhenUsed/>
    <w:qFormat/>
    <w:pPr>
      <w:keepNext w:val="true"/>
      <w:keepLines/>
      <w:widowControl w:val="false"/>
      <w:spacing w:before="360" w:after="80"/>
      <w:outlineLvl w:val="1"/>
    </w:pPr>
    <w:rPr>
      <w:rFonts w:ascii="Calibri" w:hAnsi="Calibri" w:eastAsia="Calibri" w:cs="Calibri"/>
      <w:b/>
      <w:sz w:val="36"/>
      <w:szCs w:val="36"/>
      <w:lang w:val="pt-BR" w:eastAsia="zh-CN" w:bidi="hi-IN"/>
    </w:rPr>
  </w:style>
  <w:style w:type="paragraph" w:styleId="Ttulo3">
    <w:name w:val="Heading 3"/>
    <w:basedOn w:val="LOnormal5"/>
    <w:next w:val="LOnormal5"/>
    <w:uiPriority w:val="9"/>
    <w:semiHidden/>
    <w:unhideWhenUsed/>
    <w:qFormat/>
    <w:pPr>
      <w:keepNext w:val="true"/>
      <w:keepLines/>
      <w:widowControl w:val="false"/>
      <w:spacing w:before="280" w:after="80"/>
      <w:outlineLvl w:val="2"/>
    </w:pPr>
    <w:rPr>
      <w:rFonts w:ascii="Calibri" w:hAnsi="Calibri" w:eastAsia="Calibri" w:cs="Calibri"/>
      <w:b/>
      <w:sz w:val="28"/>
      <w:szCs w:val="28"/>
      <w:lang w:val="pt-BR" w:eastAsia="zh-CN" w:bidi="hi-IN"/>
    </w:rPr>
  </w:style>
  <w:style w:type="paragraph" w:styleId="Ttulo4">
    <w:name w:val="Heading 4"/>
    <w:basedOn w:val="LOnormal5"/>
    <w:next w:val="LOnormal5"/>
    <w:uiPriority w:val="9"/>
    <w:semiHidden/>
    <w:unhideWhenUsed/>
    <w:qFormat/>
    <w:pPr>
      <w:keepNext w:val="true"/>
      <w:keepLines/>
      <w:widowControl w:val="false"/>
      <w:spacing w:before="240" w:after="40"/>
      <w:outlineLvl w:val="3"/>
    </w:pPr>
    <w:rPr>
      <w:rFonts w:ascii="Calibri" w:hAnsi="Calibri" w:eastAsia="Calibri" w:cs="Calibri"/>
      <w:b/>
      <w:lang w:val="pt-BR" w:eastAsia="zh-CN" w:bidi="hi-IN"/>
    </w:rPr>
  </w:style>
  <w:style w:type="paragraph" w:styleId="Ttulo5">
    <w:name w:val="Heading 5"/>
    <w:basedOn w:val="LOnormal5"/>
    <w:next w:val="LOnormal5"/>
    <w:uiPriority w:val="9"/>
    <w:semiHidden/>
    <w:unhideWhenUsed/>
    <w:qFormat/>
    <w:pPr>
      <w:keepNext w:val="true"/>
      <w:keepLines/>
      <w:widowControl w:val="false"/>
      <w:spacing w:before="220" w:after="40"/>
      <w:outlineLvl w:val="4"/>
    </w:pPr>
    <w:rPr>
      <w:rFonts w:ascii="Calibri" w:hAnsi="Calibri" w:eastAsia="Calibri" w:cs="Calibri"/>
      <w:b/>
      <w:sz w:val="22"/>
      <w:szCs w:val="22"/>
      <w:lang w:val="pt-BR" w:eastAsia="zh-CN" w:bidi="hi-IN"/>
    </w:rPr>
  </w:style>
  <w:style w:type="paragraph" w:styleId="Ttulo6">
    <w:name w:val="Heading 6"/>
    <w:basedOn w:val="LOnormal5"/>
    <w:next w:val="LOnormal5"/>
    <w:uiPriority w:val="9"/>
    <w:semiHidden/>
    <w:unhideWhenUsed/>
    <w:qFormat/>
    <w:pPr>
      <w:keepNext w:val="true"/>
      <w:keepLines/>
      <w:widowControl w:val="false"/>
      <w:spacing w:before="200" w:after="40"/>
      <w:outlineLvl w:val="5"/>
    </w:pPr>
    <w:rPr>
      <w:rFonts w:ascii="Calibri" w:hAnsi="Calibri" w:eastAsia="Calibri" w:cs="Calibri"/>
      <w:b/>
      <w:sz w:val="20"/>
      <w:szCs w:val="20"/>
      <w:lang w:val="pt-BR" w:eastAsia="zh-CN" w:bidi="hi-IN"/>
    </w:rPr>
  </w:style>
  <w:style w:type="character" w:styleId="DefaultParagraphFont" w:default="1">
    <w:name w:val="Default Paragraph Font"/>
    <w:uiPriority w:val="1"/>
    <w:semiHidden/>
    <w:unhideWhenUsed/>
    <w:qFormat/>
    <w:rPr/>
  </w:style>
  <w:style w:type="character" w:styleId="LinkdaInternet" w:customStyle="1">
    <w:name w:val="Link da Internet"/>
    <w:rPr>
      <w:u w:val="single" w:color="00000A"/>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LOnormal5"/>
    <w:pPr>
      <w:widowControl w:val="false"/>
      <w:spacing w:lineRule="auto" w:line="276" w:before="0" w:after="140"/>
    </w:pPr>
    <w:rPr>
      <w:rFonts w:ascii="Calibri" w:hAnsi="Calibri" w:eastAsia="Calibri" w:cs="Calibri"/>
      <w:lang w:val="pt-BR" w:eastAsia="zh-CN" w:bidi="hi-IN"/>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LOnormal5"/>
    <w:qFormat/>
    <w:pPr>
      <w:widowControl w:val="false"/>
      <w:suppressLineNumbers/>
    </w:pPr>
    <w:rPr>
      <w:rFonts w:ascii="Calibri" w:hAnsi="Calibri" w:eastAsia="Calibri" w:cs="Arial"/>
      <w:lang w:val="pt-BR" w:eastAsia="zh-CN" w:bidi="hi-IN"/>
    </w:rPr>
  </w:style>
  <w:style w:type="paragraph" w:styleId="LOnormal5" w:default="1">
    <w:name w:val="LO-normal5"/>
    <w:qFormat/>
    <w:pPr>
      <w:widowControl/>
      <w:suppressAutoHyphens w:val="true"/>
      <w:bidi w:val="0"/>
      <w:spacing w:before="0" w:after="0"/>
      <w:jc w:val="left"/>
    </w:pPr>
    <w:rPr>
      <w:rFonts w:ascii="Times New Roman" w:hAnsi="Times New Roman" w:eastAsia="NSimSun" w:cs="Arial"/>
      <w:color w:val="00000A"/>
      <w:kern w:val="0"/>
      <w:sz w:val="24"/>
      <w:szCs w:val="24"/>
      <w:lang w:val="en-US" w:eastAsia="zh-CN" w:bidi="hi-IN"/>
    </w:rPr>
  </w:style>
  <w:style w:type="paragraph" w:styleId="Ttulododocumento">
    <w:name w:val="Title"/>
    <w:basedOn w:val="LOnormal5"/>
    <w:next w:val="Corpodotexto"/>
    <w:uiPriority w:val="10"/>
    <w:qFormat/>
    <w:pPr>
      <w:keepNext w:val="true"/>
      <w:keepLines/>
      <w:widowControl w:val="false"/>
      <w:spacing w:before="480" w:after="120"/>
    </w:pPr>
    <w:rPr>
      <w:rFonts w:ascii="Calibri" w:hAnsi="Calibri" w:eastAsia="Calibri" w:cs="Calibri"/>
      <w:b/>
      <w:sz w:val="72"/>
      <w:szCs w:val="72"/>
      <w:lang w:val="pt-BR" w:eastAsia="zh-CN" w:bidi="hi-IN"/>
    </w:rPr>
  </w:style>
  <w:style w:type="paragraph" w:styleId="Caption">
    <w:name w:val="caption"/>
    <w:basedOn w:val="LOnormal5"/>
    <w:qFormat/>
    <w:pPr>
      <w:widowControl w:val="false"/>
      <w:suppressLineNumbers/>
      <w:spacing w:before="120" w:after="120"/>
    </w:pPr>
    <w:rPr>
      <w:rFonts w:ascii="Calibri" w:hAnsi="Calibri" w:eastAsia="Calibri" w:cs="Arial"/>
      <w:i/>
      <w:iCs/>
      <w:lang w:val="pt-BR" w:eastAsia="zh-CN" w:bidi="hi-IN"/>
    </w:rPr>
  </w:style>
  <w:style w:type="paragraph" w:styleId="LOnormal3" w:customStyle="1">
    <w:name w:val="LO-normal3"/>
    <w:qFormat/>
    <w:pPr>
      <w:widowControl/>
      <w:suppressAutoHyphens w:val="true"/>
      <w:bidi w:val="0"/>
      <w:spacing w:before="0" w:after="0"/>
      <w:jc w:val="left"/>
    </w:pPr>
    <w:rPr>
      <w:rFonts w:ascii="Times New Roman" w:hAnsi="Times New Roman" w:eastAsia="NSimSun" w:cs="Arial"/>
      <w:color w:val="00000A"/>
      <w:kern w:val="0"/>
      <w:sz w:val="24"/>
      <w:szCs w:val="24"/>
      <w:lang w:val="en-US" w:eastAsia="zh-CN" w:bidi="hi-IN"/>
    </w:rPr>
  </w:style>
  <w:style w:type="paragraph" w:styleId="LOnormal1" w:customStyle="1">
    <w:name w:val="LO-normal1"/>
    <w:qFormat/>
    <w:pPr>
      <w:widowControl/>
      <w:suppressAutoHyphens w:val="true"/>
      <w:bidi w:val="0"/>
      <w:spacing w:before="0" w:after="0"/>
      <w:jc w:val="left"/>
    </w:pPr>
    <w:rPr>
      <w:rFonts w:ascii="Times New Roman" w:hAnsi="Times New Roman" w:eastAsia="SimSun" w:cs="Arial"/>
      <w:color w:val="00000A"/>
      <w:kern w:val="0"/>
      <w:sz w:val="24"/>
      <w:szCs w:val="24"/>
      <w:lang w:val="en-US" w:eastAsia="zh-CN" w:bidi="hi-IN"/>
    </w:rPr>
  </w:style>
  <w:style w:type="paragraph" w:styleId="LOnormal" w:customStyle="1">
    <w:name w:val="LO-normal"/>
    <w:qFormat/>
    <w:pPr>
      <w:widowControl/>
      <w:suppressAutoHyphens w:val="true"/>
      <w:bidi w:val="0"/>
      <w:spacing w:before="0" w:after="0"/>
      <w:jc w:val="left"/>
    </w:pPr>
    <w:rPr>
      <w:rFonts w:ascii="Cambria" w:hAnsi="Cambria" w:eastAsia="Arial Unicode MS" w:cs="Arial Unicode MS"/>
      <w:color w:val="00000A"/>
      <w:kern w:val="0"/>
      <w:sz w:val="24"/>
      <w:szCs w:val="24"/>
      <w:lang w:val="en-US" w:eastAsia="zh-CN" w:bidi="hi-IN"/>
    </w:rPr>
  </w:style>
  <w:style w:type="paragraph" w:styleId="CabealhoeRodap" w:customStyle="1">
    <w:name w:val="Cabeçalho e Rodapé"/>
    <w:qFormat/>
    <w:pPr>
      <w:widowControl/>
      <w:tabs>
        <w:tab w:val="clear" w:pos="720"/>
        <w:tab w:val="right" w:pos="9020" w:leader="none"/>
      </w:tabs>
      <w:suppressAutoHyphens w:val="true"/>
      <w:bidi w:val="0"/>
      <w:spacing w:before="0" w:after="0"/>
      <w:jc w:val="left"/>
    </w:pPr>
    <w:rPr>
      <w:rFonts w:ascii="Helvetica Neue" w:hAnsi="Helvetica Neue" w:eastAsia="Arial Unicode MS" w:cs="Arial Unicode MS"/>
      <w:color w:val="000000"/>
      <w:kern w:val="0"/>
      <w:sz w:val="24"/>
      <w:szCs w:val="24"/>
      <w:lang w:val="en-US" w:eastAsia="zh-CN" w:bidi="hi-IN"/>
    </w:rPr>
  </w:style>
  <w:style w:type="paragraph" w:styleId="Cabealho">
    <w:name w:val="Header"/>
    <w:basedOn w:val="LOnormal1"/>
    <w:pPr/>
    <w:rPr/>
  </w:style>
  <w:style w:type="paragraph" w:styleId="Rodap">
    <w:name w:val="Footer"/>
    <w:basedOn w:val="LOnormal1"/>
    <w:pPr/>
    <w:rPr/>
  </w:style>
  <w:style w:type="paragraph" w:styleId="Contedodatabela" w:customStyle="1">
    <w:name w:val="Conteúdo da tabela"/>
    <w:basedOn w:val="LOnormal1"/>
    <w:qFormat/>
    <w:pPr>
      <w:suppressLineNumbers/>
    </w:pPr>
    <w:rPr/>
  </w:style>
  <w:style w:type="paragraph" w:styleId="Subttulo">
    <w:name w:val="Subtitle"/>
    <w:basedOn w:val="LOnormal5"/>
    <w:next w:val="LOnormal5"/>
    <w:uiPriority w:val="11"/>
    <w:qFormat/>
    <w:pPr>
      <w:keepNext w:val="true"/>
      <w:keepLines/>
      <w:pageBreakBefore w:val="false"/>
      <w:widowControl/>
      <w:shd w:val="clear" w:fill="auto"/>
      <w:spacing w:lineRule="auto" w:line="240" w:before="360" w:after="80"/>
      <w:ind w:left="0" w:right="0" w:hanging="0"/>
      <w:jc w:val="left"/>
    </w:pPr>
    <w:rPr>
      <w:rFonts w:ascii="Georgia" w:hAnsi="Georgia" w:eastAsia="Georgia" w:cs="Georgia"/>
      <w:b w:val="false"/>
      <w:i/>
      <w:caps w:val="false"/>
      <w:smallCaps w:val="false"/>
      <w:strike w:val="false"/>
      <w:dstrike w:val="false"/>
      <w:color w:val="666666"/>
      <w:position w:val="0"/>
      <w:sz w:val="48"/>
      <w:sz w:val="48"/>
      <w:szCs w:val="48"/>
      <w:u w:val="none"/>
      <w:shd w:fill="auto" w:val="clear"/>
      <w:vertAlign w:val="baseline"/>
    </w:rPr>
  </w:style>
  <w:style w:type="numbering" w:styleId="NoList" w:default="1">
    <w:name w:val="No List"/>
    <w:uiPriority w:val="99"/>
    <w:semiHidden/>
    <w:unhideWhenUsed/>
    <w:qFormat/>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Y6Q78fXYyzznk+oDoJ4ZwQ5+WcQ==">CgMxLjA4AHIhMW16a0xuZTROVUhMa0lrU2tyMzV6aGtIR0ZuZ3pjWEtm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9</TotalTime>
  <Application>LibreOffice/7.3.2.2$Windows_X86_64 LibreOffice_project/49f2b1bff42cfccbd8f788c8dc32c1c309559be0</Application>
  <AppVersion>15.0000</AppVersion>
  <Pages>3</Pages>
  <Words>1609</Words>
  <Characters>8611</Characters>
  <CharactersWithSpaces>10231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2023-09-29T18:56:00Z</dcterms:created>
  <dc:creator>CARLA LUCIANE LIMA</dc:creator>
  <dc:description/>
  <dc:language>pt-BR</dc:language>
  <cp:lastModifiedBy/>
  <dcterms:modified xsi:type="dcterms:W3CDTF">2023-10-23T14:40:22Z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