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5"/>
        <w:spacing w:lineRule="auto" w:line="276"/>
        <w:ind w:right="280" w:hanging="0"/>
        <w:jc w:val="center"/>
        <w:rPr>
          <w:rFonts w:ascii="Arial" w:hAnsi="Arial" w:eastAsia="Arial" w:cs="Arial"/>
          <w:b/>
          <w:b/>
          <w:color w:val="000000"/>
          <w:sz w:val="28"/>
          <w:szCs w:val="28"/>
        </w:rPr>
      </w:pPr>
      <w:r>
        <w:rPr>
          <w:rFonts w:eastAsia="Arial" w:cs="Arial" w:ascii="Arial" w:hAnsi="Arial"/>
          <w:b/>
          <w:color w:val="000000"/>
          <w:sz w:val="28"/>
          <w:szCs w:val="28"/>
        </w:rPr>
        <w:t>APLICABILIDADE DE ÍNDICES DE VEGETAÇÃO COMO INDICADOR DE MASSA DE AZEVÉM-ANUAL</w:t>
      </w:r>
    </w:p>
    <w:p>
      <w:pPr>
        <w:pStyle w:val="LOnormal5"/>
        <w:spacing w:lineRule="auto" w:line="276"/>
        <w:ind w:right="280" w:hanging="0"/>
        <w:jc w:val="center"/>
        <w:rPr>
          <w:rFonts w:ascii="Arial" w:hAnsi="Arial" w:eastAsia="Arial" w:cs="Arial"/>
          <w:b/>
          <w:b/>
          <w:color w:val="000000"/>
          <w:sz w:val="28"/>
          <w:szCs w:val="28"/>
        </w:rPr>
      </w:pPr>
      <w:r>
        <w:rPr>
          <w:rFonts w:eastAsia="Arial" w:cs="Arial" w:ascii="Arial" w:hAnsi="Arial"/>
          <w:b/>
          <w:color w:val="000000"/>
          <w:sz w:val="28"/>
          <w:szCs w:val="28"/>
        </w:rPr>
      </w:r>
    </w:p>
    <w:p>
      <w:pPr>
        <w:pStyle w:val="Normal"/>
        <w:spacing w:lineRule="auto" w:line="276"/>
        <w:ind w:right="280" w:hanging="0"/>
        <w:jc w:val="center"/>
        <w:rPr/>
      </w:pPr>
      <w:r>
        <w:rPr>
          <w:rFonts w:eastAsia="Arial" w:cs="Arial" w:ascii="Arial" w:hAnsi="Arial"/>
          <w:color w:val="000000"/>
          <w:sz w:val="20"/>
          <w:szCs w:val="20"/>
          <w:u w:val="single"/>
        </w:rPr>
        <w:t>Carla Luciane Lima</w:t>
      </w:r>
      <w:r>
        <w:rPr>
          <w:rFonts w:eastAsia="Arial" w:cs="Arial" w:ascii="Arial" w:hAnsi="Arial"/>
          <w:color w:val="000000"/>
          <w:sz w:val="20"/>
          <w:szCs w:val="20"/>
          <w:vertAlign w:val="superscript"/>
        </w:rPr>
        <w:t>1</w:t>
      </w:r>
      <w:r>
        <w:rPr>
          <w:rFonts w:eastAsia="Arial" w:cs="Arial" w:ascii="Arial" w:hAnsi="Arial"/>
          <w:color w:val="000000"/>
          <w:sz w:val="20"/>
          <w:szCs w:val="20"/>
        </w:rPr>
        <w:t>, Tiago Celso Baldissera</w:t>
      </w:r>
      <w:r>
        <w:rPr>
          <w:rFonts w:eastAsia="Arial" w:cs="Arial" w:ascii="Arial" w:hAnsi="Arial"/>
          <w:color w:val="000000"/>
          <w:sz w:val="20"/>
          <w:szCs w:val="20"/>
          <w:vertAlign w:val="superscript"/>
        </w:rPr>
        <w:t>1</w:t>
      </w:r>
      <w:r>
        <w:rPr>
          <w:rFonts w:eastAsia="Arial" w:cs="Arial" w:ascii="Arial" w:hAnsi="Arial"/>
          <w:color w:val="000000"/>
          <w:sz w:val="20"/>
          <w:szCs w:val="20"/>
        </w:rPr>
        <w:t>, Cassiano Eduardo Pinto</w:t>
      </w:r>
      <w:r>
        <w:rPr>
          <w:rFonts w:eastAsia="Arial" w:cs="Arial" w:ascii="Arial" w:hAnsi="Arial"/>
          <w:color w:val="000000"/>
          <w:sz w:val="20"/>
          <w:szCs w:val="20"/>
          <w:vertAlign w:val="superscript"/>
        </w:rPr>
        <w:t>1</w:t>
      </w:r>
      <w:r>
        <w:rPr>
          <w:rFonts w:eastAsia="Arial" w:cs="Arial" w:ascii="Arial" w:hAnsi="Arial"/>
          <w:color w:val="000000"/>
          <w:sz w:val="20"/>
          <w:szCs w:val="20"/>
        </w:rPr>
        <w:t>, Fábio Cervo Garagorry</w:t>
      </w:r>
      <w:r>
        <w:rPr>
          <w:rFonts w:eastAsia="Arial" w:cs="Arial" w:ascii="Arial" w:hAnsi="Arial"/>
          <w:color w:val="000000"/>
          <w:sz w:val="20"/>
          <w:szCs w:val="20"/>
          <w:vertAlign w:val="superscript"/>
        </w:rPr>
        <w:t>2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Marcos Benedito Shimalski</w:t>
      </w:r>
      <w:r>
        <w:rPr>
          <w:rFonts w:eastAsia="Arial" w:cs="Arial" w:ascii="Arial" w:hAnsi="Arial"/>
          <w:color w:val="000000"/>
          <w:sz w:val="20"/>
          <w:szCs w:val="20"/>
          <w:vertAlign w:val="superscript"/>
        </w:rPr>
        <w:t>3</w:t>
      </w:r>
      <w:r>
        <w:rPr>
          <w:rFonts w:eastAsia="Arial" w:cs="Arial" w:ascii="Arial" w:hAnsi="Arial"/>
          <w:color w:val="000000"/>
          <w:sz w:val="20"/>
          <w:szCs w:val="20"/>
        </w:rPr>
        <w:t>, Danielli Comassetto</w:t>
      </w:r>
      <w:r>
        <w:rPr>
          <w:rFonts w:eastAsia="Arial" w:cs="Arial" w:ascii="Arial" w:hAnsi="Arial"/>
          <w:color w:val="000000"/>
          <w:sz w:val="20"/>
          <w:szCs w:val="20"/>
          <w:vertAlign w:val="superscript"/>
        </w:rPr>
        <w:t>3</w:t>
      </w:r>
      <w:r>
        <w:rPr>
          <w:rFonts w:eastAsia="Arial" w:cs="Arial" w:ascii="Arial" w:hAnsi="Arial"/>
          <w:color w:val="000000"/>
          <w:sz w:val="20"/>
          <w:szCs w:val="20"/>
        </w:rPr>
        <w:t>, Lariane Fontana de Freitas</w:t>
      </w:r>
      <w:r>
        <w:rPr>
          <w:rFonts w:eastAsia="Arial" w:cs="Arial" w:ascii="Arial" w:hAnsi="Arial"/>
          <w:color w:val="000000"/>
          <w:sz w:val="20"/>
          <w:szCs w:val="20"/>
          <w:vertAlign w:val="superscript"/>
        </w:rPr>
        <w:t>3</w:t>
      </w:r>
      <w:r>
        <w:rPr>
          <w:rFonts w:eastAsia="Arial" w:cs="Arial" w:ascii="Arial" w:hAnsi="Arial"/>
          <w:color w:val="000000"/>
          <w:sz w:val="20"/>
          <w:szCs w:val="20"/>
        </w:rPr>
        <w:t>, André Fischer Sbrissia</w:t>
      </w:r>
      <w:r>
        <w:rPr>
          <w:rFonts w:eastAsia="Arial" w:cs="Arial" w:ascii="Arial" w:hAnsi="Arial"/>
          <w:color w:val="000000"/>
          <w:sz w:val="20"/>
          <w:szCs w:val="20"/>
          <w:vertAlign w:val="superscript"/>
        </w:rPr>
        <w:t>3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. </w:t>
      </w:r>
    </w:p>
    <w:p>
      <w:pPr>
        <w:pStyle w:val="Normal"/>
        <w:ind w:right="284" w:hanging="0"/>
        <w:jc w:val="center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ind w:right="284" w:hanging="0"/>
        <w:jc w:val="center"/>
        <w:rPr/>
      </w:pPr>
      <w:r>
        <w:rPr>
          <w:rFonts w:eastAsia="Arial" w:cs="Arial" w:ascii="Arial" w:hAnsi="Arial"/>
          <w:color w:val="000000"/>
          <w:sz w:val="20"/>
          <w:szCs w:val="20"/>
          <w:vertAlign w:val="superscript"/>
        </w:rPr>
        <w:t>1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Empresa de Pesquisa Agropecuária de Santa Catarina – Epagri, </w:t>
      </w:r>
      <w:r>
        <w:rPr>
          <w:rFonts w:eastAsia="Arial" w:cs="Arial" w:ascii="Arial" w:hAnsi="Arial"/>
          <w:color w:val="000000"/>
          <w:sz w:val="20"/>
          <w:szCs w:val="20"/>
          <w:vertAlign w:val="superscript"/>
        </w:rPr>
        <w:t>2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Empresa Brasileira de Pesquisa Agropecuária, </w:t>
      </w:r>
      <w:r>
        <w:rPr>
          <w:rFonts w:eastAsia="Arial" w:cs="Arial" w:ascii="Arial" w:hAnsi="Arial"/>
          <w:color w:val="000000"/>
          <w:sz w:val="20"/>
          <w:szCs w:val="20"/>
          <w:vertAlign w:val="superscript"/>
        </w:rPr>
        <w:t>3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Universidade do Estado de Santa Catarina – UDESC. </w:t>
      </w:r>
    </w:p>
    <w:p>
      <w:pPr>
        <w:pStyle w:val="LOnormal5"/>
        <w:spacing w:lineRule="auto" w:line="276"/>
        <w:ind w:right="280" w:hanging="0"/>
        <w:jc w:val="center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b w:val="false"/>
          <w:bCs w:val="false"/>
          <w:color w:val="000000"/>
          <w:kern w:val="0"/>
          <w:sz w:val="20"/>
          <w:szCs w:val="20"/>
          <w:lang w:val="en-US" w:eastAsia="en-US" w:bidi="ar-SA"/>
        </w:rPr>
        <w:t xml:space="preserve">E-mail: carlalima@epagri.sc.gov.br </w:t>
      </w:r>
    </w:p>
    <w:p>
      <w:pPr>
        <w:pStyle w:val="LOnormal5"/>
        <w:ind w:right="284" w:hanging="0"/>
        <w:rPr>
          <w:rFonts w:ascii="Arial" w:hAnsi="Arial" w:eastAsia="Arial" w:cs="Arial"/>
          <w:color w:val="000000"/>
          <w:kern w:val="0"/>
          <w:sz w:val="20"/>
          <w:szCs w:val="20"/>
          <w:lang w:val="en-US" w:eastAsia="en-US" w:bidi="ar-SA"/>
        </w:rPr>
      </w:pPr>
      <w:r>
        <w:rPr>
          <w:rFonts w:eastAsia="Arial" w:cs="Arial" w:ascii="Arial" w:hAnsi="Arial"/>
          <w:color w:val="000000"/>
          <w:kern w:val="0"/>
          <w:sz w:val="20"/>
          <w:szCs w:val="20"/>
          <w:lang w:val="en-US" w:eastAsia="en-US" w:bidi="ar-SA"/>
        </w:rPr>
      </w:r>
    </w:p>
    <w:p>
      <w:pPr>
        <w:pStyle w:val="LOnormal5"/>
        <w:jc w:val="both"/>
        <w:rPr/>
      </w:pPr>
      <w:r>
        <w:rPr>
          <w:rFonts w:eastAsia="Arial" w:cs="Arial" w:ascii="Arial" w:hAnsi="Arial"/>
          <w:b/>
          <w:color w:val="000000"/>
          <w:sz w:val="22"/>
          <w:szCs w:val="22"/>
        </w:rPr>
        <w:t>Contribuição para a sociedade</w:t>
      </w:r>
      <w:r>
        <w:rPr>
          <w:rFonts w:eastAsia="Arial" w:cs="Arial" w:ascii="Arial" w:hAnsi="Arial"/>
          <w:color w:val="000000"/>
          <w:sz w:val="22"/>
          <w:szCs w:val="22"/>
        </w:rPr>
        <w:t>: A pecuária de ruminantes no sul do Brasil tem como base principal a alimentação a pasto e dentre as espécies mais utilizadas nas pastagens, destaca-se o azevém-anual (</w:t>
      </w:r>
      <w:r>
        <w:rPr>
          <w:rFonts w:eastAsia="Arial" w:cs="Arial" w:ascii="Arial" w:hAnsi="Arial"/>
          <w:i/>
          <w:color w:val="000000"/>
          <w:sz w:val="22"/>
          <w:szCs w:val="22"/>
        </w:rPr>
        <w:t>Lolium multiflorum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Lam). Para aumentar a eficiência de produção, o manejo otimizado da pastagem torna-se fundamental, e nesse sentido, o uso do sensoriamento remoto pode auxiliar na geração de informações que possibilitem a geração de ferramentas de automatização do manejo, reduzindo custos e otimizando mão-de-obra. O objetivo deste trabalho foi determinar a massa de azevém-anual em diferentes estágios de rebrota da pastagem, utilizando imagens aéreas de Veículo Aéreo Não Tripulado (drone) aplicando três índices de vegetação: “</w:t>
      </w:r>
      <w:r>
        <w:rPr>
          <w:rFonts w:eastAsia="Arial" w:cs="Arial" w:ascii="Arial" w:hAnsi="Arial"/>
          <w:i/>
          <w:color w:val="000000"/>
          <w:sz w:val="22"/>
          <w:szCs w:val="22"/>
        </w:rPr>
        <w:t>Normalized Difference Red Edge Simple Ratio</w:t>
      </w:r>
      <w:r>
        <w:rPr>
          <w:rFonts w:eastAsia="Arial" w:cs="Arial" w:ascii="Arial" w:hAnsi="Arial"/>
          <w:color w:val="000000"/>
          <w:sz w:val="22"/>
          <w:szCs w:val="22"/>
        </w:rPr>
        <w:t>” (NDRSR), “</w:t>
      </w:r>
      <w:r>
        <w:rPr>
          <w:rFonts w:eastAsia="Arial" w:cs="Arial" w:ascii="Arial" w:hAnsi="Arial"/>
          <w:i/>
          <w:color w:val="000000"/>
          <w:sz w:val="22"/>
          <w:szCs w:val="22"/>
        </w:rPr>
        <w:t xml:space="preserve">Normalized Difference Vegetation Index” </w:t>
      </w:r>
      <w:r>
        <w:rPr>
          <w:rFonts w:eastAsia="Arial" w:cs="Arial" w:ascii="Arial" w:hAnsi="Arial"/>
          <w:color w:val="000000"/>
          <w:sz w:val="22"/>
          <w:szCs w:val="22"/>
        </w:rPr>
        <w:t>(NDVI) e “</w:t>
      </w:r>
      <w:r>
        <w:rPr>
          <w:rFonts w:eastAsia="Arial" w:cs="Arial" w:ascii="Arial" w:hAnsi="Arial"/>
          <w:i/>
          <w:iCs/>
          <w:color w:val="000000"/>
          <w:sz w:val="22"/>
          <w:szCs w:val="22"/>
        </w:rPr>
        <w:t>Green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</w:t>
      </w:r>
      <w:r>
        <w:rPr>
          <w:rFonts w:eastAsia="Arial" w:cs="Arial" w:ascii="Arial" w:hAnsi="Arial"/>
          <w:i/>
          <w:color w:val="000000"/>
          <w:sz w:val="22"/>
          <w:szCs w:val="22"/>
        </w:rPr>
        <w:t xml:space="preserve">Normalized Difference Vegetation Index” </w:t>
      </w:r>
      <w:r>
        <w:rPr>
          <w:rFonts w:eastAsia="Arial" w:cs="Arial" w:ascii="Arial" w:hAnsi="Arial"/>
          <w:color w:val="000000"/>
          <w:sz w:val="22"/>
          <w:szCs w:val="22"/>
        </w:rPr>
        <w:t>(GNDVI). Os resultados encontrados neste trabalho apontam o potencial do uso de índices de vegetação como uma ferramenta remota para análise de massa de azevém-anual.</w:t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LOnormal5"/>
        <w:jc w:val="both"/>
        <w:rPr/>
      </w:pPr>
      <w:r>
        <w:rPr>
          <w:rFonts w:eastAsia="Arial" w:cs="Arial" w:ascii="Arial" w:hAnsi="Arial"/>
          <w:b/>
          <w:color w:val="000000"/>
          <w:sz w:val="22"/>
          <w:szCs w:val="22"/>
        </w:rPr>
        <w:t>Palavras-chave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: </w:t>
      </w:r>
      <w:r>
        <w:rPr>
          <w:rFonts w:eastAsia="Arial" w:cs="Arial" w:ascii="Arial" w:hAnsi="Arial"/>
          <w:i/>
          <w:color w:val="000000"/>
          <w:sz w:val="22"/>
          <w:szCs w:val="22"/>
        </w:rPr>
        <w:t xml:space="preserve">Lolium multiflorum </w:t>
      </w:r>
      <w:r>
        <w:rPr>
          <w:rFonts w:eastAsia="Arial" w:cs="Arial" w:ascii="Arial" w:hAnsi="Arial"/>
          <w:color w:val="000000"/>
          <w:sz w:val="22"/>
          <w:szCs w:val="22"/>
        </w:rPr>
        <w:t>Lam., Imagem aérea, NDVI, GNDVI, NDRSR.</w:t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Introdução: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A produção animal a base de pastagens é reconhecida mundialmente como uma forma sustentável de produção de alimentos. Ainda, apresenta menor risco econômico, pois tem menor dependência de insumos externos. Contudo, dentro do cenário sul brasileiro e catarinense da produção de leite, a maioria das propriedades apresentam áreas pequenas (20-30 hectares), necessitando intensificar a produção de pastagens para ganhar escala de produção. O desenvolvimento de ferramentas que possibilitem automatizar processos produtivos é latente neste cenário de intensificação aliado à falta de mão-de-obra no campo. </w:t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 xml:space="preserve">O uso do sensoriamento remoto pode auxiliar na interpretação da produtividade em pastagens por envolver a detecção, aquisição e análise da energia eletromagnética emitida ou refletida pelos objetos terrestres (NOVO, 2008). É possível, por meio de imagens orbitais ou imagens aéreas, realizar a extração de atributos, calcular índices de vegetação (IV) e classificar as imagens por meio de algoritmos, baseada no reconhecimento de padrões espectrais de interesse (ANDRADE </w:t>
      </w:r>
      <w:r>
        <w:rPr>
          <w:rFonts w:eastAsia="Arial" w:cs="Arial" w:ascii="Arial" w:hAnsi="Arial"/>
          <w:i w:val="false"/>
          <w:iCs w:val="false"/>
          <w:color w:val="000000"/>
          <w:sz w:val="22"/>
          <w:szCs w:val="22"/>
        </w:rPr>
        <w:t>et al.</w:t>
      </w:r>
      <w:r>
        <w:rPr>
          <w:rFonts w:eastAsia="Arial" w:cs="Arial" w:ascii="Arial" w:hAnsi="Arial"/>
          <w:color w:val="000000"/>
          <w:sz w:val="22"/>
          <w:szCs w:val="22"/>
        </w:rPr>
        <w:t>, 2015). Diante do exposto, o presente trabalho teve como objetivo a análise de massa de azevém-anual em diferentes estágios de rebrota da pastagem, utilizando três índices de vegetação: “</w:t>
      </w:r>
      <w:r>
        <w:rPr>
          <w:rFonts w:eastAsia="Arial" w:cs="Arial" w:ascii="Arial" w:hAnsi="Arial"/>
          <w:i/>
          <w:color w:val="000000"/>
          <w:sz w:val="22"/>
          <w:szCs w:val="22"/>
        </w:rPr>
        <w:t>Normalized Difference Red Edge Simple Ratio</w:t>
      </w:r>
      <w:r>
        <w:rPr>
          <w:rFonts w:eastAsia="Arial" w:cs="Arial" w:ascii="Arial" w:hAnsi="Arial"/>
          <w:color w:val="000000"/>
          <w:sz w:val="22"/>
          <w:szCs w:val="22"/>
        </w:rPr>
        <w:t>” (NDRSR), “</w:t>
      </w:r>
      <w:r>
        <w:rPr>
          <w:rFonts w:eastAsia="Arial" w:cs="Arial" w:ascii="Arial" w:hAnsi="Arial"/>
          <w:i/>
          <w:color w:val="000000"/>
          <w:sz w:val="22"/>
          <w:szCs w:val="22"/>
        </w:rPr>
        <w:t xml:space="preserve">Normalized Difference Vegetation Index” </w:t>
      </w:r>
      <w:r>
        <w:rPr>
          <w:rFonts w:eastAsia="Arial" w:cs="Arial" w:ascii="Arial" w:hAnsi="Arial"/>
          <w:color w:val="000000"/>
          <w:sz w:val="22"/>
          <w:szCs w:val="22"/>
        </w:rPr>
        <w:t>(NDVI) e “</w:t>
      </w:r>
      <w:r>
        <w:rPr>
          <w:rFonts w:eastAsia="Arial" w:cs="Arial" w:ascii="Arial" w:hAnsi="Arial"/>
          <w:i/>
          <w:iCs/>
          <w:color w:val="000000"/>
          <w:sz w:val="22"/>
          <w:szCs w:val="22"/>
        </w:rPr>
        <w:t>Green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</w:t>
      </w:r>
      <w:r>
        <w:rPr>
          <w:rFonts w:eastAsia="Arial" w:cs="Arial" w:ascii="Arial" w:hAnsi="Arial"/>
          <w:i/>
          <w:color w:val="000000"/>
          <w:sz w:val="22"/>
          <w:szCs w:val="22"/>
        </w:rPr>
        <w:t xml:space="preserve">Normalized Difference Vegetation Index”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(GNDVI). </w:t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bookmarkStart w:id="0" w:name="_heading=h.gjdgxs"/>
      <w:bookmarkEnd w:id="0"/>
      <w:r>
        <w:rPr>
          <w:rFonts w:eastAsia="Arial" w:cs="Arial" w:ascii="Arial" w:hAnsi="Arial"/>
          <w:b/>
          <w:color w:val="000000"/>
          <w:sz w:val="22"/>
          <w:szCs w:val="22"/>
        </w:rPr>
        <w:t>Material e métodos: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O estudo foi conduzido na Epagri - Estação Experimental de Lages, Santa Catarina, Brasil, com altitude de 938 m, latitude de 27º48'27'' e longitude de 50º19'44''. O solo é classificado como um Cambissolo Húmico (EMBRAPA, 2013). A pastagem de azevém-anual avaliada está inserida em um sistema pastoril com Jiggs (</w:t>
      </w:r>
      <w:r>
        <w:rPr>
          <w:rFonts w:eastAsia="Arial" w:cs="Arial" w:ascii="Arial" w:hAnsi="Arial"/>
          <w:i/>
          <w:color w:val="000000"/>
          <w:sz w:val="22"/>
          <w:szCs w:val="22"/>
        </w:rPr>
        <w:t xml:space="preserve">Cynodon dactylon </w:t>
      </w:r>
      <w:r>
        <w:rPr>
          <w:rFonts w:eastAsia="Arial" w:cs="Arial" w:ascii="Arial" w:hAnsi="Arial"/>
          <w:i w:val="false"/>
          <w:iCs w:val="false"/>
          <w:color w:val="000000"/>
          <w:sz w:val="22"/>
          <w:szCs w:val="22"/>
        </w:rPr>
        <w:t>L.</w:t>
      </w:r>
      <w:r>
        <w:rPr>
          <w:rFonts w:eastAsia="Arial" w:cs="Arial" w:ascii="Arial" w:hAnsi="Arial"/>
          <w:i/>
          <w:color w:val="000000"/>
          <w:sz w:val="22"/>
          <w:szCs w:val="22"/>
        </w:rPr>
        <w:t xml:space="preserve"> </w:t>
      </w:r>
      <w:r>
        <w:rPr>
          <w:rFonts w:eastAsia="Arial" w:cs="Arial" w:ascii="Arial" w:hAnsi="Arial"/>
          <w:i w:val="false"/>
          <w:iCs w:val="false"/>
          <w:color w:val="000000"/>
          <w:sz w:val="22"/>
          <w:szCs w:val="22"/>
        </w:rPr>
        <w:t>Pers</w:t>
      </w:r>
      <w:r>
        <w:rPr>
          <w:rFonts w:eastAsia="Arial" w:cs="Arial" w:ascii="Arial" w:hAnsi="Arial"/>
          <w:color w:val="000000"/>
          <w:sz w:val="22"/>
          <w:szCs w:val="22"/>
        </w:rPr>
        <w:t>) no verão e presença de trevo-branco (</w:t>
      </w:r>
      <w:r>
        <w:rPr>
          <w:rFonts w:eastAsia="Arial" w:cs="Arial" w:ascii="Arial" w:hAnsi="Arial"/>
          <w:i/>
          <w:color w:val="000000"/>
          <w:sz w:val="22"/>
          <w:szCs w:val="22"/>
        </w:rPr>
        <w:t xml:space="preserve">Trifolium repens </w:t>
      </w:r>
      <w:r>
        <w:rPr>
          <w:rFonts w:eastAsia="Arial" w:cs="Arial" w:ascii="Arial" w:hAnsi="Arial"/>
          <w:i w:val="false"/>
          <w:iCs w:val="false"/>
          <w:color w:val="000000"/>
          <w:sz w:val="22"/>
          <w:szCs w:val="22"/>
        </w:rPr>
        <w:t>L.</w:t>
      </w:r>
      <w:r>
        <w:rPr>
          <w:rFonts w:eastAsia="Arial" w:cs="Arial" w:ascii="Arial" w:hAnsi="Arial"/>
          <w:color w:val="000000"/>
          <w:sz w:val="22"/>
          <w:szCs w:val="22"/>
        </w:rPr>
        <w:t>). Este sistema foi implantado em 2015 com a implantação de jiggs. O azevém apresenta ressemeadura natural, contudo, para garantir a pastagem de azevém foi realizada a semeadura em plantio direto utilizando a densidade de 35 kg/ha de sementes viáveis. Foi realizada adubação de base utilizando 90 kg/ha fósforo e potássio. No início do perfilhamento, foi aplicado 150 kg/ha de nitrogênio na forma ur</w:t>
      </w:r>
      <w:r>
        <w:rPr>
          <w:rFonts w:eastAsia="Arial" w:cs="Arial" w:ascii="Arial" w:hAnsi="Arial"/>
          <w:color w:val="000000"/>
          <w:kern w:val="0"/>
          <w:sz w:val="22"/>
          <w:szCs w:val="22"/>
          <w:lang w:val="pt-BR" w:eastAsia="zh-CN" w:bidi="hi-IN"/>
        </w:rPr>
        <w:t>e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ia. </w:t>
      </w:r>
    </w:p>
    <w:p>
      <w:pPr>
        <w:pStyle w:val="LOnormal5"/>
        <w:jc w:val="both"/>
        <w:rPr/>
      </w:pPr>
      <w:bookmarkStart w:id="1" w:name="_heading=h.ud4quqw4awoo"/>
      <w:bookmarkEnd w:id="1"/>
      <w:r>
        <w:rPr>
          <w:rFonts w:eastAsia="Arial" w:cs="Arial" w:ascii="Arial" w:hAnsi="Arial"/>
          <w:color w:val="000000"/>
          <w:sz w:val="22"/>
          <w:szCs w:val="22"/>
        </w:rPr>
        <w:t xml:space="preserve">A </w:t>
      </w:r>
      <w:r>
        <w:drawing>
          <wp:anchor behindDoc="0" distT="152400" distB="152400" distL="152400" distR="152400" simplePos="0" locked="0" layoutInCell="0" allowOverlap="1" relativeHeight="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115060"/>
            <wp:effectExtent l="0" t="0" r="0" b="0"/>
            <wp:wrapTopAndBottom/>
            <wp:docPr id="1" name="image2.jpg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jpg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Arial" w:cs="Arial" w:ascii="Arial" w:hAnsi="Arial"/>
          <w:color w:val="000000"/>
          <w:sz w:val="22"/>
          <w:szCs w:val="22"/>
        </w:rPr>
        <w:t xml:space="preserve">aquisição de imagens foi realizada utilizando Veículo Aéreo Não tripulado modelo </w:t>
      </w:r>
      <w:r>
        <w:rPr>
          <w:rFonts w:eastAsia="Arial" w:cs="Arial" w:ascii="Arial" w:hAnsi="Arial"/>
          <w:i/>
          <w:color w:val="000000"/>
          <w:sz w:val="22"/>
          <w:szCs w:val="22"/>
        </w:rPr>
        <w:t>DJI Phanton Multiespectral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, acoplado com seis sensores CMOS 1/2.9”, sendo um sensor RGB para imagens de luz visível e cinco sensores monocromáticos para imagens multiespectrais, com resolução de 2,1 Mpixels. Os voos foram realizados nos dias 07 e 30 de Agosto de 2023, representando uma massa baixa de forragem (1520,8 +- 213,9) e uma massa alta (1840,3 +- 231,7), em quatro repetições de área, resultando em dois ortomosaicos da área de estudo, com GSD de 6 cm, após o processamento das imagens no software </w:t>
      </w:r>
      <w:r>
        <w:rPr>
          <w:rFonts w:eastAsia="Arial" w:cs="Arial" w:ascii="Arial" w:hAnsi="Arial"/>
          <w:i/>
          <w:color w:val="000000"/>
          <w:sz w:val="22"/>
          <w:szCs w:val="22"/>
        </w:rPr>
        <w:t>Agisoft Metashape Professional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®. Após a construção dos ortomosaicos, estes foram exportados em formato tiff para ambiente SIG, utilizando o software </w:t>
      </w:r>
      <w:r>
        <w:rPr>
          <w:rFonts w:eastAsia="Arial" w:cs="Arial" w:ascii="Arial" w:hAnsi="Arial"/>
          <w:i/>
          <w:color w:val="000000"/>
          <w:sz w:val="22"/>
          <w:szCs w:val="22"/>
        </w:rPr>
        <w:t xml:space="preserve">ArcGis®. </w:t>
      </w:r>
      <w:bookmarkStart w:id="2" w:name="docs-internal-guid-9ba47903-7fff-06a9-4d"/>
      <w:bookmarkEnd w:id="2"/>
      <w:r>
        <w:rPr>
          <w:rFonts w:eastAsia="Arial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A"/>
          <w:sz w:val="22"/>
          <w:szCs w:val="22"/>
          <w:u w:val="none"/>
          <w:effect w:val="none"/>
        </w:rPr>
        <w:t xml:space="preserve">Foram calculados o índice de vegetação NDRSR, baseado no conteúdo de clorofila da planta, com a equação composta pelas bandas (NIR−RE)/(NIR+RE) (GITELSON </w:t>
      </w:r>
      <w:r>
        <w:rPr>
          <w:rFonts w:eastAsia="Arial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effect w:val="none"/>
        </w:rPr>
        <w:t>et al., 2005; QIAN, et al</w:t>
      </w:r>
      <w:r>
        <w:rPr>
          <w:rFonts w:eastAsia="Arial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A"/>
          <w:sz w:val="22"/>
          <w:szCs w:val="22"/>
          <w:u w:val="none"/>
          <w:effect w:val="none"/>
        </w:rPr>
        <w:t xml:space="preserve">., 2022), o índice NDVI, que utiliza dados de reflectância do vermelho e infravermelho e é calculado pela equação (NIR−R)/(NIR+R) (CARLSON e RIPLEY, 1997) e o índice GNDVI, o qual usa as bandas do infravermelho próximo (NIR) e do verde (G), composto pela equação (NIR−G)/(NIR+G) (GITELSON </w:t>
      </w:r>
      <w:r>
        <w:rPr>
          <w:rFonts w:eastAsia="Arial" w:cs="Arial"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effect w:val="none"/>
        </w:rPr>
        <w:t>et al., 1996)</w:t>
      </w:r>
      <w:r>
        <w:rPr>
          <w:rFonts w:eastAsia="Arial" w:cs="Arial" w:ascii="Arial" w:hAnsi="Arial"/>
          <w:color w:val="000000"/>
          <w:sz w:val="22"/>
          <w:szCs w:val="22"/>
        </w:rPr>
        <w:t>. Os valores obtidos para cada índice foram correlacionados com valores de referência de biomassas coletadas a campo em datas próximas às dos voos por meio da estatística de correlação linear de Pearson (r).</w:t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  <w:bookmarkStart w:id="3" w:name="_heading=h.mkscz4fyzwxe"/>
      <w:bookmarkStart w:id="4" w:name="_heading=h.mkscz4fyzwxe"/>
      <w:bookmarkEnd w:id="4"/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Resultados e discussões: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Na figura 1 é possível observar os resultados obtidos para ambas as datas de avaliação, relacionado aos índices NDVI, GNDVI e NDRSR. Os valores vão de uma escala de -1 a 1, sendo que valores maiores indicam maior quantidade de clorofila e massa na pastagem. </w:t>
      </w:r>
    </w:p>
    <w:p>
      <w:pPr>
        <w:pStyle w:val="LOnormal5"/>
        <w:jc w:val="center"/>
        <w:rPr>
          <w:rFonts w:ascii="Arial" w:hAnsi="Arial" w:eastAsia="Arial" w:cs="Arial"/>
          <w:color w:val="000000"/>
          <w:sz w:val="22"/>
          <w:szCs w:val="22"/>
        </w:rPr>
      </w:pPr>
      <w:r>
        <w:rPr/>
        <w:drawing>
          <wp:inline distT="0" distB="0" distL="0" distR="0">
            <wp:extent cx="5759450" cy="3873500"/>
            <wp:effectExtent l="0" t="0" r="0" b="0"/>
            <wp:docPr id="2" name="image3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jp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42" t="0" r="42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87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Onormal5"/>
        <w:rPr/>
      </w:pPr>
      <w:r>
        <w:rPr>
          <w:rFonts w:eastAsia="Arial" w:cs="Arial" w:ascii="Arial" w:hAnsi="Arial"/>
          <w:color w:val="000000"/>
          <w:sz w:val="22"/>
          <w:szCs w:val="22"/>
        </w:rPr>
        <w:t>Figura 1.Resultados dos índices NDVI, GNDVI e NDRSR em 07 e 30 de Agosto de 2023.</w:t>
      </w:r>
    </w:p>
    <w:p>
      <w:pPr>
        <w:pStyle w:val="LOnormal5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>Fonte: Elaborado pela autora (2023).</w:t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>Comparando-se os três índices, é possível inferir que as leituras de NDVI e de GNDVI foram mais sensíveis a resposta de clorofila presente na pastagem para ambas as datas, uma vez que a presença de massa verde implica em reflectância na banda do infravermelho, o que por sua vez reflete em valores positivos dos índices. Já o índice NDRSR apresentou valores mais baixos, embora composto por bandas do infravermelho (NIR e RE). Porém, não houve correlação entre os índices de vegetação obtidos e os valores de massa (p&lt;0,16). Esse resultado pode estar relacionado com a presença de palhada na pastagem do material morto da pastagem de verão (Jiggs), uma vez que este não apresenta clorofila, gerando, portanto, valores negativos (de 0 a -1) na escala dos índices. Comparativamente, Lisboa (2020), em um estudo aplicando índices de vegetação em imagens multiespectrais para capim braquiária, encontrou correlações entre os IVs e as variáveis de massa de forragem, altura e proteína bruta. Para obtenção de resultados com maior acurácia em estudos futuros, pode-se realizar previamente a classificação da imagem, na tentativa de separação da classe correspondente ao material morto da classe relacionada a massa verde, minimizando assim a influência dos valores negativos na escala dos índices.</w:t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Conclusão</w:t>
      </w:r>
      <w:r>
        <w:rPr>
          <w:rFonts w:eastAsia="Arial" w:cs="Arial" w:ascii="Arial" w:hAnsi="Arial"/>
          <w:color w:val="000000"/>
          <w:sz w:val="22"/>
          <w:szCs w:val="22"/>
        </w:rPr>
        <w:t>:</w:t>
      </w:r>
      <w:r>
        <w:drawing>
          <wp:anchor behindDoc="0" distT="152400" distB="152400" distL="152400" distR="152400" simplePos="0" locked="0" layoutInCell="0" allowOverlap="1" relativeHeight="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115060"/>
            <wp:effectExtent l="0" t="0" r="0" b="0"/>
            <wp:wrapTopAndBottom/>
            <wp:docPr id="3" name="image1.jpg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jpg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Arial" w:cs="Arial" w:ascii="Arial" w:hAnsi="Arial"/>
          <w:color w:val="000000"/>
          <w:sz w:val="22"/>
          <w:szCs w:val="22"/>
        </w:rPr>
        <w:t xml:space="preserve"> Os resultados encontrados neste trabalho apontam o potencial do uso de índices de vegetação como uma ferramenta remota para análise de massa de azevém-anual.</w:t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Agradecimento: </w:t>
      </w:r>
      <w:r>
        <w:rPr>
          <w:rFonts w:eastAsia="Arial" w:cs="Arial" w:ascii="Arial" w:hAnsi="Arial"/>
          <w:color w:val="000000"/>
          <w:sz w:val="22"/>
          <w:szCs w:val="22"/>
        </w:rPr>
        <w:t>À Fundação de Amparo à Pesquisa e Inovação de Santa Catarina – FAPESC pelo fomento à pesquisa (Termo de Outorga Nº: 2023TR000301 e Nº: 2021TR001417) e ao Conselho Nacional de Desenvolvimento Científico e Tecnológico – CNPQ.</w:t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LOnormal5"/>
        <w:jc w:val="both"/>
        <w:rPr/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Referências: </w:t>
      </w:r>
    </w:p>
    <w:p>
      <w:pPr>
        <w:pStyle w:val="LOnormal5"/>
        <w:jc w:val="both"/>
        <w:rPr/>
      </w:pPr>
      <w:r>
        <w:rPr>
          <w:rFonts w:eastAsia="Arial" w:cs="Arial" w:ascii="Arial" w:hAnsi="Arial"/>
          <w:color w:val="000000"/>
          <w:sz w:val="22"/>
          <w:szCs w:val="22"/>
        </w:rPr>
        <w:t>ANDRADE, A. C.; FRANCISCO, C. N.; ALMEIDA, C. M. Desempenho de classificadores paramétrico e não paramétrico na classificação da fisionomia vegetal. In: XVII Simpósio Brasileiro de Sensoriamento Remoto. Anais...João Pessoa, PB. 2015.</w:t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>CARLSON, T. N. e RIPLEY, D. A. On the relation between NDVI, fractional vegetation cover, and leaf area index. Remote Sensing of Environment, 62, 1997.</w:t>
      </w:r>
    </w:p>
    <w:p>
      <w:pPr>
        <w:pStyle w:val="LOnormal5"/>
        <w:spacing w:lineRule="auto" w:line="276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>EMPRESA BRASILEIRA DE PESQUISA AGROPECUÁRIA - EMBRAPA. Sistema brasileiro de classificação de solos. 3.ed. Brasília, 2013. 353p.</w:t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>GITELSON, A. A.; KAUFMAN, Y. J.; MERZLYAK, M. N. Use of a green channel in remote sensing of global vegetation from EOS-MODIS. Remote Sensing of Environment, 58, 1996.</w:t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 xml:space="preserve">GITELSON, A. A.; VIÑA, A.; CIGANDA, V.; RUNDQUIST D. C.; ARKEBAUER, T. J. Remote   estimation of canopy chlorophyll content in crops, Geophys. Res. Lett., 32, 2005. </w:t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>LISBOA, A. M. Sensoriamento remoto na avaliação de pasto de Brachiaria decumbens. 2020. 59 f. Dissertação (Mestrado em Zootecnia) - Universidade Federal de Viçosa, Viçosa. 2020.</w:t>
      </w:r>
    </w:p>
    <w:p>
      <w:pPr>
        <w:pStyle w:val="LOnormal5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>NOVO, E. M. L. M. Sensoriamento Remoto: princípios e aplicações. 3 ed. São Paulo: Edgard Blücher, 2008.</w:t>
      </w:r>
    </w:p>
    <w:p>
      <w:pPr>
        <w:pStyle w:val="LOnormal5"/>
        <w:jc w:val="both"/>
        <w:rPr/>
      </w:pPr>
      <w:r>
        <w:rPr>
          <w:rFonts w:eastAsia="Arial" w:cs="Arial" w:ascii="Arial" w:hAnsi="Arial"/>
          <w:color w:val="000000"/>
          <w:sz w:val="22"/>
          <w:szCs w:val="22"/>
        </w:rPr>
        <w:t>QIAN, B.; YE, H.; HUANG, W.; XIE, Q.; PAN, Y.; XING, N.; REN, Y.; GUO, A.; JIAO, Q.; LAN, Y. A sentinel-2-based triangular vegetation index for chlorophyll content estimation, Agricultural and Forest Meteorology, 322, 2022.</w:t>
      </w:r>
    </w:p>
    <w:sectPr>
      <w:headerReference w:type="default" r:id="rId5"/>
      <w:footerReference w:type="default" r:id="rId6"/>
      <w:type w:val="nextPage"/>
      <w:pgSz w:w="11906" w:h="16838"/>
      <w:pgMar w:left="1418" w:right="1418" w:gutter="0" w:header="0" w:top="1418" w:footer="0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mbria">
    <w:charset w:val="00"/>
    <w:family w:val="roman"/>
    <w:pitch w:val="variable"/>
  </w:font>
  <w:font w:name="Helvetica Neue"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  <w:font w:name="Arial">
    <w:altName w:val="sans-serif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5"/>
      <w:tabs>
        <w:tab w:val="clear" w:pos="720"/>
        <w:tab w:val="right" w:pos="9020" w:leader="none"/>
      </w:tabs>
      <w:rPr>
        <w:rFonts w:ascii="Helvetica Neue" w:hAnsi="Helvetica Neue" w:eastAsia="Helvetica Neue" w:cs="Helvetica Neue"/>
        <w:color w:val="000000"/>
      </w:rPr>
    </w:pPr>
    <w:r>
      <w:rPr>
        <w:rFonts w:eastAsia="Helvetica Neue" w:cs="Helvetica Neue" w:ascii="Helvetica Neue" w:hAnsi="Helvetica Neue"/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5"/>
      <w:rPr>
        <w:rFonts w:ascii="Cambria" w:hAnsi="Cambria" w:eastAsia="Cambria" w:cs="Cambria"/>
      </w:rPr>
    </w:pPr>
    <w:r>
      <w:rPr>
        <w:rFonts w:eastAsia="Cambria" w:cs="Cambria" w:ascii="Cambria" w:hAnsi="Cambria"/>
      </w:rPr>
      <w:drawing>
        <wp:anchor behindDoc="0" distT="152400" distB="152400" distL="152400" distR="152400" simplePos="0" locked="0" layoutInCell="0" allowOverlap="1" relativeHeight="4">
          <wp:simplePos x="0" y="0"/>
          <wp:positionH relativeFrom="page">
            <wp:posOffset>3175</wp:posOffset>
          </wp:positionH>
          <wp:positionV relativeFrom="page">
            <wp:posOffset>28575</wp:posOffset>
          </wp:positionV>
          <wp:extent cx="7556500" cy="1115060"/>
          <wp:effectExtent l="0" t="0" r="0" b="0"/>
          <wp:wrapTopAndBottom/>
          <wp:docPr id="4" name="Figura1" descr="Cabeçalho SBSS-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 descr="Cabeçalho SBSS-02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115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trackRevisions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color w:val="00000A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Arial Unicode MS" w:cs="Times New Roman"/>
      <w:color w:val="00000A"/>
      <w:kern w:val="0"/>
      <w:sz w:val="24"/>
      <w:szCs w:val="24"/>
      <w:lang w:val="en-US" w:eastAsia="en-US" w:bidi="ar-SA"/>
    </w:rPr>
  </w:style>
  <w:style w:type="paragraph" w:styleId="Ttulo1">
    <w:name w:val="Heading 1"/>
    <w:basedOn w:val="Normal"/>
    <w:uiPriority w:val="9"/>
    <w:qFormat/>
    <w:pPr>
      <w:keepNext w:val="true"/>
      <w:keepLines/>
      <w:widowControl w:val="false"/>
      <w:bidi w:val="0"/>
      <w:spacing w:before="480" w:after="120"/>
      <w:jc w:val="left"/>
      <w:outlineLvl w:val="0"/>
    </w:pPr>
    <w:rPr>
      <w:rFonts w:ascii="Calibri" w:hAnsi="Calibri" w:eastAsia="Calibri" w:cs="Calibri"/>
      <w:b/>
      <w:color w:val="00000A"/>
      <w:kern w:val="0"/>
      <w:sz w:val="48"/>
      <w:szCs w:val="48"/>
      <w:lang w:val="pt-BR" w:eastAsia="zh-CN" w:bidi="hi-IN"/>
    </w:rPr>
  </w:style>
  <w:style w:type="paragraph" w:styleId="Ttulo2">
    <w:name w:val="Heading 2"/>
    <w:basedOn w:val="Normal"/>
    <w:uiPriority w:val="9"/>
    <w:semiHidden/>
    <w:unhideWhenUsed/>
    <w:qFormat/>
    <w:pPr>
      <w:keepNext w:val="true"/>
      <w:keepLines/>
      <w:widowControl w:val="false"/>
      <w:bidi w:val="0"/>
      <w:spacing w:before="360" w:after="80"/>
      <w:jc w:val="left"/>
      <w:outlineLvl w:val="1"/>
    </w:pPr>
    <w:rPr>
      <w:rFonts w:ascii="Calibri" w:hAnsi="Calibri" w:eastAsia="Calibri" w:cs="Calibri"/>
      <w:b/>
      <w:color w:val="00000A"/>
      <w:kern w:val="0"/>
      <w:sz w:val="36"/>
      <w:szCs w:val="36"/>
      <w:lang w:val="pt-BR" w:eastAsia="zh-CN" w:bidi="hi-IN"/>
    </w:rPr>
  </w:style>
  <w:style w:type="paragraph" w:styleId="Ttulo3">
    <w:name w:val="Heading 3"/>
    <w:basedOn w:val="Normal"/>
    <w:uiPriority w:val="9"/>
    <w:semiHidden/>
    <w:unhideWhenUsed/>
    <w:qFormat/>
    <w:pPr>
      <w:keepNext w:val="true"/>
      <w:keepLines/>
      <w:widowControl w:val="false"/>
      <w:bidi w:val="0"/>
      <w:spacing w:before="280" w:after="80"/>
      <w:jc w:val="left"/>
      <w:outlineLvl w:val="2"/>
    </w:pPr>
    <w:rPr>
      <w:rFonts w:ascii="Calibri" w:hAnsi="Calibri" w:eastAsia="Calibri" w:cs="Calibri"/>
      <w:b/>
      <w:color w:val="00000A"/>
      <w:kern w:val="0"/>
      <w:sz w:val="28"/>
      <w:szCs w:val="28"/>
      <w:lang w:val="pt-BR" w:eastAsia="zh-CN" w:bidi="hi-IN"/>
    </w:rPr>
  </w:style>
  <w:style w:type="paragraph" w:styleId="Ttulo4">
    <w:name w:val="Heading 4"/>
    <w:basedOn w:val="Normal"/>
    <w:uiPriority w:val="9"/>
    <w:semiHidden/>
    <w:unhideWhenUsed/>
    <w:qFormat/>
    <w:pPr>
      <w:keepNext w:val="true"/>
      <w:keepLines/>
      <w:widowControl w:val="false"/>
      <w:bidi w:val="0"/>
      <w:spacing w:before="240" w:after="40"/>
      <w:jc w:val="left"/>
      <w:outlineLvl w:val="3"/>
    </w:pPr>
    <w:rPr>
      <w:rFonts w:ascii="Calibri" w:hAnsi="Calibri" w:eastAsia="Calibri" w:cs="Calibri"/>
      <w:b/>
      <w:color w:val="00000A"/>
      <w:kern w:val="0"/>
      <w:sz w:val="24"/>
      <w:szCs w:val="24"/>
      <w:lang w:val="pt-BR" w:eastAsia="zh-CN" w:bidi="hi-IN"/>
    </w:rPr>
  </w:style>
  <w:style w:type="paragraph" w:styleId="Ttulo5">
    <w:name w:val="Heading 5"/>
    <w:basedOn w:val="Normal"/>
    <w:uiPriority w:val="9"/>
    <w:semiHidden/>
    <w:unhideWhenUsed/>
    <w:qFormat/>
    <w:pPr>
      <w:keepNext w:val="true"/>
      <w:keepLines/>
      <w:widowControl w:val="false"/>
      <w:bidi w:val="0"/>
      <w:spacing w:before="220" w:after="40"/>
      <w:jc w:val="left"/>
      <w:outlineLvl w:val="4"/>
    </w:pPr>
    <w:rPr>
      <w:rFonts w:ascii="Calibri" w:hAnsi="Calibri" w:eastAsia="Calibri" w:cs="Calibri"/>
      <w:b/>
      <w:color w:val="00000A"/>
      <w:kern w:val="0"/>
      <w:sz w:val="22"/>
      <w:szCs w:val="22"/>
      <w:lang w:val="pt-BR" w:eastAsia="zh-CN" w:bidi="hi-IN"/>
    </w:rPr>
  </w:style>
  <w:style w:type="paragraph" w:styleId="Ttulo6">
    <w:name w:val="Heading 6"/>
    <w:basedOn w:val="Normal"/>
    <w:uiPriority w:val="9"/>
    <w:semiHidden/>
    <w:unhideWhenUsed/>
    <w:qFormat/>
    <w:pPr>
      <w:keepNext w:val="true"/>
      <w:keepLines/>
      <w:widowControl w:val="false"/>
      <w:bidi w:val="0"/>
      <w:spacing w:before="200" w:after="40"/>
      <w:jc w:val="left"/>
      <w:outlineLvl w:val="5"/>
    </w:pPr>
    <w:rPr>
      <w:rFonts w:ascii="Calibri" w:hAnsi="Calibri" w:eastAsia="Calibri" w:cs="Calibri"/>
      <w:b/>
      <w:color w:val="00000A"/>
      <w:kern w:val="0"/>
      <w:sz w:val="20"/>
      <w:szCs w:val="20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u w:val="single" w:color="00000A"/>
    </w:rPr>
  </w:style>
  <w:style w:type="character" w:styleId="Numeraodelinhas">
    <w:name w:val="Numeração de linhas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widowControl w:val="false"/>
      <w:bidi w:val="0"/>
      <w:spacing w:lineRule="auto" w:line="276" w:before="0" w:after="140"/>
      <w:jc w:val="left"/>
    </w:pPr>
    <w:rPr>
      <w:rFonts w:ascii="Calibri" w:hAnsi="Calibri" w:eastAsia="Calibri" w:cs="Calibri"/>
      <w:color w:val="00000A"/>
      <w:kern w:val="0"/>
      <w:sz w:val="24"/>
      <w:szCs w:val="24"/>
      <w:lang w:val="pt-BR" w:eastAsia="zh-CN" w:bidi="hi-IN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  <w:bidi w:val="0"/>
      <w:jc w:val="left"/>
    </w:pPr>
    <w:rPr>
      <w:rFonts w:ascii="Calibri" w:hAnsi="Calibri" w:eastAsia="Calibri" w:cs="Arial"/>
      <w:color w:val="00000A"/>
      <w:kern w:val="0"/>
      <w:sz w:val="24"/>
      <w:szCs w:val="24"/>
      <w:lang w:val="pt-BR" w:eastAsia="zh-CN" w:bidi="hi-IN"/>
    </w:rPr>
  </w:style>
  <w:style w:type="paragraph" w:styleId="LOnormal5" w:default="1">
    <w:name w:val="LO-normal5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00000A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LOnormal5"/>
    <w:uiPriority w:val="10"/>
    <w:qFormat/>
    <w:pPr>
      <w:keepNext w:val="true"/>
      <w:keepLines/>
      <w:widowControl w:val="false"/>
      <w:spacing w:before="480" w:after="120"/>
    </w:pPr>
    <w:rPr>
      <w:rFonts w:ascii="Calibri" w:hAnsi="Calibri" w:eastAsia="Calibri" w:cs="Calibri"/>
      <w:b/>
      <w:sz w:val="72"/>
      <w:szCs w:val="72"/>
      <w:lang w:val="pt-BR" w:eastAsia="zh-CN" w:bidi="hi-IN"/>
    </w:rPr>
  </w:style>
  <w:style w:type="paragraph" w:styleId="Caption">
    <w:name w:val="caption"/>
    <w:basedOn w:val="LOnormal5"/>
    <w:qFormat/>
    <w:pPr>
      <w:widowControl w:val="false"/>
      <w:suppressLineNumbers/>
      <w:spacing w:before="120" w:after="120"/>
    </w:pPr>
    <w:rPr>
      <w:rFonts w:ascii="Calibri" w:hAnsi="Calibri" w:eastAsia="Calibri" w:cs="Arial"/>
      <w:i/>
      <w:iCs/>
      <w:lang w:val="pt-BR" w:eastAsia="zh-CN" w:bidi="hi-IN"/>
    </w:rPr>
  </w:style>
  <w:style w:type="paragraph" w:styleId="LOnormal3" w:customStyle="1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00000A"/>
      <w:kern w:val="0"/>
      <w:sz w:val="24"/>
      <w:szCs w:val="24"/>
      <w:lang w:val="pt-BR" w:eastAsia="zh-CN" w:bidi="hi-IN"/>
    </w:rPr>
  </w:style>
  <w:style w:type="paragraph" w:styleId="LO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SimSun" w:cs="Arial"/>
      <w:color w:val="00000A"/>
      <w:kern w:val="0"/>
      <w:sz w:val="24"/>
      <w:szCs w:val="24"/>
      <w:lang w:val="pt-BR" w:eastAsia="zh-CN" w:bidi="hi-IN"/>
    </w:rPr>
  </w:style>
  <w:style w:type="paragraph" w:styleId="LOnormal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mbria" w:hAnsi="Cambria" w:eastAsia="Arial Unicode MS" w:cs="Arial Unicode MS"/>
      <w:color w:val="00000A"/>
      <w:kern w:val="0"/>
      <w:sz w:val="24"/>
      <w:szCs w:val="24"/>
      <w:lang w:val="en-US" w:eastAsia="zh-CN" w:bidi="hi-IN"/>
    </w:rPr>
  </w:style>
  <w:style w:type="paragraph" w:styleId="CabealhoeRodap" w:customStyle="1">
    <w:name w:val="Cabeçalho e Rodapé"/>
    <w:qFormat/>
    <w:pPr>
      <w:widowControl/>
      <w:tabs>
        <w:tab w:val="clear" w:pos="720"/>
        <w:tab w:val="right" w:pos="9020" w:leader="none"/>
      </w:tabs>
      <w:suppressAutoHyphens w:val="true"/>
      <w:bidi w:val="0"/>
      <w:spacing w:before="0" w:after="0"/>
      <w:jc w:val="left"/>
    </w:pPr>
    <w:rPr>
      <w:rFonts w:ascii="Helvetica Neue" w:hAnsi="Helvetica Neue" w:eastAsia="Arial Unicode MS" w:cs="Arial Unicode MS"/>
      <w:color w:val="000000"/>
      <w:kern w:val="0"/>
      <w:sz w:val="24"/>
      <w:szCs w:val="24"/>
      <w:lang w:val="pt-BR" w:eastAsia="zh-CN" w:bidi="hi-IN"/>
    </w:rPr>
  </w:style>
  <w:style w:type="paragraph" w:styleId="Cabealho">
    <w:name w:val="Header"/>
    <w:basedOn w:val="LOnormal1"/>
    <w:pPr/>
    <w:rPr/>
  </w:style>
  <w:style w:type="paragraph" w:styleId="Rodap">
    <w:name w:val="Footer"/>
    <w:basedOn w:val="LOnormal1"/>
    <w:pPr/>
    <w:rPr/>
  </w:style>
  <w:style w:type="paragraph" w:styleId="Contedodatabela" w:customStyle="1">
    <w:name w:val="Conteúdo da tabela"/>
    <w:basedOn w:val="LOnormal1"/>
    <w:qFormat/>
    <w:pPr>
      <w:suppressLineNumbers/>
    </w:pPr>
    <w:rPr/>
  </w:style>
  <w:style w:type="paragraph" w:styleId="Subttulo">
    <w:name w:val="Subtitle"/>
    <w:basedOn w:val="LOnormal5"/>
    <w:uiPriority w:val="11"/>
    <w:qFormat/>
    <w:pPr>
      <w:keepNext w:val="true"/>
      <w:keepLines/>
      <w:pageBreakBefore w:val="false"/>
      <w:widowControl/>
      <w:shd w:val="clear" w:fill="auto"/>
      <w:spacing w:lineRule="auto" w:line="240" w:before="360" w:after="80"/>
      <w:ind w:left="0" w:right="0" w:hanging="0"/>
      <w:jc w:val="left"/>
    </w:pPr>
    <w:rPr>
      <w:rFonts w:ascii="Georgia" w:hAnsi="Georgia" w:eastAsia="Georgia" w:cs="Georgia"/>
      <w:b w:val="false"/>
      <w:i/>
      <w:caps w:val="false"/>
      <w:smallCaps w:val="false"/>
      <w:strike w:val="false"/>
      <w:dstrike w:val="false"/>
      <w:color w:val="666666"/>
      <w:position w:val="0"/>
      <w:sz w:val="48"/>
      <w:sz w:val="48"/>
      <w:szCs w:val="48"/>
      <w:u w:val="none"/>
      <w:shd w:fill="auto" w:val="clear"/>
      <w:vertAlign w:val="baseli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o3Q4JD/pP9F50VgELiLLN9tyIWA==">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</TotalTime>
  <Application>LibreOffice/7.3.2.2$Windows_X86_64 LibreOffice_project/49f2b1bff42cfccbd8f788c8dc32c1c309559be0</Application>
  <AppVersion>15.0000</AppVersion>
  <Pages>2</Pages>
  <Words>1311</Words>
  <Characters>7442</Characters>
  <CharactersWithSpaces>8743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2023-09-29T18:56:00Z</dcterms:created>
  <dc:creator>CARLA LUCIANE LIMA</dc:creator>
  <dc:description/>
  <dc:language>pt-BR</dc:language>
  <cp:lastModifiedBy/>
  <dcterms:modified xsi:type="dcterms:W3CDTF">2023-10-24T14:23:18Z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