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drawings/drawing2.xml" ContentType="application/vnd.openxmlformats-officedocument.drawingml.chartshapes+xml"/>
  <Override PartName="/word/charts/chart1.xml" ContentType="application/vnd.openxmlformats-officedocument.drawingml.chart+xml"/>
  <Override PartName="/word/charts/_rels/chart1.xml.rels" ContentType="application/vnd.openxmlformats-package.relationship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spacing w:lineRule="auto" w:line="276"/>
        <w:jc w:val="center"/>
        <w:rPr>
          <w:rFonts w:ascii="Arial" w:hAnsi="Arial"/>
          <w:b/>
          <w:b/>
          <w:bCs/>
          <w:color w:val="000000"/>
          <w:sz w:val="28"/>
          <w:szCs w:val="28"/>
          <w:lang w:val="pt-BR"/>
        </w:rPr>
      </w:pPr>
      <w:r>
        <w:drawing>
          <wp:anchor behindDoc="0" distT="0" distB="152400" distL="152400" distR="152400" simplePos="0" locked="0" layoutInCell="0" allowOverlap="1" relativeHeight="3">
            <wp:simplePos x="0" y="0"/>
            <wp:positionH relativeFrom="page">
              <wp:align>right</wp:align>
            </wp:positionH>
            <wp:positionV relativeFrom="page">
              <wp:align>top</wp:align>
            </wp:positionV>
            <wp:extent cx="7556500" cy="1115060"/>
            <wp:effectExtent l="0" t="0" r="0" b="0"/>
            <wp:wrapTopAndBottom/>
            <wp:docPr id="1" name="Imagem 864600137"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864600137" descr="Cabeçalho SBSS-02.jpg"/>
                    <pic:cNvPicPr>
                      <a:picLocks noChangeAspect="1" noChangeArrowheads="1"/>
                    </pic:cNvPicPr>
                  </pic:nvPicPr>
                  <pic:blipFill>
                    <a:blip r:embed="rId2"/>
                    <a:stretch>
                      <a:fillRect/>
                    </a:stretch>
                  </pic:blipFill>
                  <pic:spPr bwMode="auto">
                    <a:xfrm>
                      <a:off x="0" y="0"/>
                      <a:ext cx="7556500" cy="1115060"/>
                    </a:xfrm>
                    <a:prstGeom prst="rect">
                      <a:avLst/>
                    </a:prstGeom>
                  </pic:spPr>
                </pic:pic>
              </a:graphicData>
            </a:graphic>
          </wp:anchor>
        </w:drawing>
      </w:r>
      <w:r>
        <w:rPr>
          <w:rFonts w:eastAsia="Arial" w:cs="Arial" w:ascii="Arial" w:hAnsi="Arial"/>
          <w:b/>
          <w:bCs/>
          <w:color w:val="000000" w:themeColor="text1"/>
          <w:sz w:val="28"/>
          <w:szCs w:val="28"/>
          <w:lang w:val="pt-BR"/>
        </w:rPr>
        <w:t>ESTIMATIVA DO DESPERDÍCIO DE ÁGUA EM UM SISTEMA DE RESFRIAMENTO EVAPORATIVO DE VACAS EM LACTAÇÃO</w:t>
      </w:r>
      <w:r>
        <w:rPr>
          <w:rFonts w:ascii="Arial" w:hAnsi="Arial"/>
          <w:b/>
          <w:bCs/>
          <w:color w:val="000000"/>
          <w:sz w:val="28"/>
          <w:szCs w:val="28"/>
          <w:lang w:val="pt-BR"/>
        </w:rPr>
        <w:t xml:space="preserve"> </w:t>
      </w:r>
    </w:p>
    <w:p>
      <w:pPr>
        <w:pStyle w:val="LOnormal"/>
        <w:spacing w:lineRule="auto" w:line="276"/>
        <w:jc w:val="center"/>
        <w:rPr>
          <w:rFonts w:ascii="Arial" w:hAnsi="Arial" w:eastAsia="Arial" w:cs="Arial"/>
          <w:b/>
          <w:b/>
          <w:bCs/>
          <w:color w:val="000000"/>
          <w:sz w:val="22"/>
          <w:szCs w:val="22"/>
          <w:u w:val="none" w:color="000000"/>
          <w:lang w:val="pt-BR"/>
        </w:rPr>
      </w:pPr>
      <w:r>
        <w:rPr>
          <w:rFonts w:eastAsia="Arial" w:cs="Arial" w:ascii="Arial" w:hAnsi="Arial"/>
          <w:b/>
          <w:bCs/>
          <w:color w:val="000000"/>
          <w:sz w:val="22"/>
          <w:szCs w:val="22"/>
          <w:u w:val="none" w:color="000000"/>
          <w:lang w:val="pt-BR"/>
        </w:rPr>
      </w:r>
    </w:p>
    <w:p>
      <w:pPr>
        <w:pStyle w:val="LOnormal"/>
        <w:jc w:val="center"/>
        <w:rPr>
          <w:rFonts w:ascii="Arial" w:hAnsi="Arial"/>
          <w:color w:val="000000"/>
          <w:sz w:val="20"/>
          <w:szCs w:val="20"/>
          <w:lang w:val="pt-BR"/>
        </w:rPr>
      </w:pPr>
      <w:r>
        <w:rPr>
          <w:rFonts w:ascii="Arial" w:hAnsi="Arial"/>
          <w:color w:val="000000" w:themeColor="text1"/>
          <w:sz w:val="20"/>
          <w:szCs w:val="20"/>
          <w:u w:val="single"/>
          <w:lang w:val="pt-BR"/>
        </w:rPr>
        <w:t>Viviane Dalla Rosa</w:t>
      </w:r>
      <w:r>
        <w:rPr>
          <w:rFonts w:ascii="Arial" w:hAnsi="Arial"/>
          <w:color w:val="000000" w:themeColor="text1"/>
          <w:sz w:val="20"/>
          <w:szCs w:val="20"/>
          <w:lang w:val="pt-BR"/>
        </w:rPr>
        <w:t>¹, Sidinei Peretti</w:t>
      </w:r>
      <w:r>
        <w:rPr>
          <w:rFonts w:ascii="Arial" w:hAnsi="Arial"/>
          <w:color w:val="000000" w:themeColor="text1"/>
          <w:sz w:val="20"/>
          <w:szCs w:val="20"/>
          <w:vertAlign w:val="superscript"/>
          <w:lang w:val="pt-BR"/>
        </w:rPr>
        <w:t>2</w:t>
      </w:r>
      <w:r>
        <w:rPr>
          <w:rFonts w:ascii="Arial" w:hAnsi="Arial"/>
          <w:color w:val="000000" w:themeColor="text1"/>
          <w:sz w:val="20"/>
          <w:szCs w:val="20"/>
          <w:lang w:val="pt-BR"/>
        </w:rPr>
        <w:t>, Claiton André Zotti</w:t>
      </w:r>
      <w:r>
        <w:rPr>
          <w:rFonts w:ascii="Arial" w:hAnsi="Arial"/>
          <w:color w:val="000000" w:themeColor="text1"/>
          <w:sz w:val="20"/>
          <w:szCs w:val="20"/>
          <w:vertAlign w:val="superscript"/>
          <w:lang w:val="pt-BR"/>
        </w:rPr>
        <w:t>3</w:t>
      </w:r>
      <w:r>
        <w:rPr>
          <w:rFonts w:ascii="Arial" w:hAnsi="Arial"/>
          <w:color w:val="000000" w:themeColor="text1"/>
          <w:sz w:val="20"/>
          <w:szCs w:val="20"/>
          <w:lang w:val="pt-BR"/>
        </w:rPr>
        <w:t>, Maria Luísa Appendino Nunes Zotti</w:t>
      </w:r>
      <w:r>
        <w:rPr>
          <w:rFonts w:ascii="Arial" w:hAnsi="Arial"/>
          <w:color w:val="000000" w:themeColor="text1"/>
          <w:sz w:val="20"/>
          <w:szCs w:val="20"/>
          <w:vertAlign w:val="superscript"/>
          <w:lang w:val="pt-BR"/>
        </w:rPr>
        <w:t xml:space="preserve"> 4</w:t>
      </w:r>
    </w:p>
    <w:p>
      <w:pPr>
        <w:pStyle w:val="LOnormal"/>
        <w:jc w:val="center"/>
        <w:rPr>
          <w:rFonts w:ascii="Arial" w:hAnsi="Arial"/>
          <w:color w:val="000000" w:themeColor="text1"/>
          <w:sz w:val="20"/>
          <w:szCs w:val="20"/>
          <w:lang w:val="pt-BR"/>
        </w:rPr>
      </w:pPr>
      <w:r>
        <w:rPr>
          <w:rFonts w:eastAsia="Arial" w:cs="Arial" w:ascii="Arial" w:hAnsi="Arial"/>
          <w:color w:val="000000"/>
          <w:sz w:val="22"/>
          <w:szCs w:val="22"/>
          <w:lang w:val="pt-BR"/>
        </w:rPr>
      </w:r>
    </w:p>
    <w:p>
      <w:pPr>
        <w:pStyle w:val="LOnormal"/>
        <w:jc w:val="center"/>
        <w:rPr>
          <w:rFonts w:ascii="Arial" w:hAnsi="Arial"/>
          <w:color w:val="000000" w:themeColor="text1"/>
          <w:sz w:val="20"/>
          <w:szCs w:val="20"/>
          <w:vertAlign w:val="superscript"/>
          <w:lang w:val="pt-BR"/>
        </w:rPr>
      </w:pPr>
      <w:r>
        <w:rPr>
          <w:rFonts w:ascii="Arial" w:hAnsi="Arial"/>
          <w:color w:val="000000" w:themeColor="text1"/>
          <w:sz w:val="20"/>
          <w:szCs w:val="20"/>
          <w:vertAlign w:val="superscript"/>
          <w:lang w:val="pt-BR"/>
        </w:rPr>
        <w:t>1</w:t>
      </w:r>
      <w:r>
        <w:rPr>
          <w:rFonts w:ascii="Arial" w:hAnsi="Arial"/>
          <w:color w:val="000000" w:themeColor="text1"/>
          <w:sz w:val="20"/>
          <w:szCs w:val="20"/>
          <w:lang w:val="pt-BR"/>
        </w:rPr>
        <w:t xml:space="preserve"> Mestranda do Programa de pós-graduação em Zootecnia – UDESC; </w:t>
      </w:r>
      <w:r>
        <w:rPr>
          <w:rFonts w:ascii="Arial" w:hAnsi="Arial"/>
          <w:color w:val="000000" w:themeColor="text1"/>
          <w:sz w:val="20"/>
          <w:szCs w:val="20"/>
          <w:vertAlign w:val="superscript"/>
          <w:lang w:val="pt-BR"/>
        </w:rPr>
        <w:t>2</w:t>
      </w:r>
      <w:r>
        <w:rPr>
          <w:rFonts w:ascii="Arial" w:hAnsi="Arial"/>
          <w:color w:val="000000" w:themeColor="text1"/>
          <w:sz w:val="20"/>
          <w:szCs w:val="20"/>
          <w:lang w:val="pt-BR"/>
        </w:rPr>
        <w:t xml:space="preserve"> Mestre pela Universidade do Oeste de Santa Catarina – UNOESC, </w:t>
      </w:r>
      <w:r>
        <w:rPr>
          <w:rFonts w:ascii="Arial" w:hAnsi="Arial"/>
          <w:color w:val="000000" w:themeColor="text1"/>
          <w:sz w:val="20"/>
          <w:szCs w:val="20"/>
          <w:vertAlign w:val="superscript"/>
          <w:lang w:val="pt-BR"/>
        </w:rPr>
        <w:t xml:space="preserve">3 </w:t>
      </w:r>
      <w:r>
        <w:rPr>
          <w:rFonts w:ascii="Arial" w:hAnsi="Arial"/>
          <w:color w:val="000000" w:themeColor="text1"/>
          <w:sz w:val="20"/>
          <w:szCs w:val="20"/>
          <w:lang w:val="pt-BR"/>
        </w:rPr>
        <w:t xml:space="preserve">Timac Agro Brasil, </w:t>
      </w:r>
      <w:r>
        <w:rPr>
          <w:rFonts w:ascii="Arial" w:hAnsi="Arial"/>
          <w:color w:val="000000" w:themeColor="text1"/>
          <w:sz w:val="20"/>
          <w:szCs w:val="20"/>
          <w:vertAlign w:val="superscript"/>
          <w:lang w:val="pt-BR"/>
        </w:rPr>
        <w:t>4</w:t>
      </w:r>
      <w:r>
        <w:rPr>
          <w:rFonts w:ascii="Arial" w:hAnsi="Arial"/>
          <w:color w:val="000000" w:themeColor="text1"/>
          <w:sz w:val="20"/>
          <w:szCs w:val="20"/>
          <w:lang w:val="pt-BR"/>
        </w:rPr>
        <w:t xml:space="preserve"> Professora do Programa de pós-graduação em Zootecnia - UDESC</w:t>
      </w:r>
    </w:p>
    <w:p>
      <w:pPr>
        <w:pStyle w:val="LOnormal"/>
        <w:jc w:val="center"/>
        <w:rPr>
          <w:rFonts w:ascii="Arial" w:hAnsi="Arial" w:eastAsia="Arial" w:cs="Arial"/>
          <w:color w:val="000000"/>
          <w:sz w:val="20"/>
          <w:szCs w:val="20"/>
          <w:u w:val="none" w:color="000000"/>
          <w:lang w:val="pt-BR"/>
        </w:rPr>
      </w:pPr>
      <w:r>
        <w:rPr>
          <w:rFonts w:ascii="Arial" w:hAnsi="Arial"/>
          <w:color w:val="000000"/>
          <w:sz w:val="20"/>
          <w:szCs w:val="20"/>
          <w:u w:val="none" w:color="000000"/>
          <w:lang w:val="pt-BR"/>
        </w:rPr>
        <w:t xml:space="preserve"> </w:t>
      </w:r>
      <w:r>
        <w:rPr>
          <w:rFonts w:ascii="Arial" w:hAnsi="Arial"/>
          <w:color w:val="000000"/>
          <w:sz w:val="20"/>
          <w:szCs w:val="20"/>
          <w:u w:val="none" w:color="000000"/>
          <w:lang w:val="pt-BR"/>
        </w:rPr>
        <w:t>E-mail: viviane.rosa@edu.udesc.br</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Normal"/>
        <w:jc w:val="both"/>
        <w:rPr>
          <w:rFonts w:ascii="Arial" w:hAnsi="Arial" w:eastAsia="Arial" w:cs="Arial"/>
          <w:color w:val="000000" w:themeColor="text1"/>
          <w:sz w:val="22"/>
          <w:szCs w:val="22"/>
        </w:rPr>
      </w:pPr>
      <w:r>
        <w:rPr>
          <w:rFonts w:ascii="Arial" w:hAnsi="Arial"/>
          <w:b/>
          <w:bCs/>
          <w:color w:val="000000" w:themeColor="text1"/>
          <w:sz w:val="22"/>
          <w:szCs w:val="22"/>
        </w:rPr>
        <w:t xml:space="preserve">Contribuição para a sociedade: </w:t>
      </w:r>
      <w:r>
        <w:rPr>
          <w:rFonts w:eastAsia="Arial" w:cs="Arial" w:ascii="Arial" w:hAnsi="Arial"/>
          <w:color w:val="000000" w:themeColor="text1"/>
          <w:sz w:val="22"/>
          <w:szCs w:val="22"/>
        </w:rPr>
        <w:t>Vacas de alta produtividade tendem a diminuir sua produção no calor. Assim, são utilizados sistemas de resfriamento evaporativo para melhorar o conforto dos animais, porém, vários aspectos devem ser considerados como uso racional da água e energia. Objetivou-se estimar o volume de água desperdiçado em um sistema de resfriamento evaporativo com dois esquemas de intermitência: 30 segundos de aspersão ligada, e 4,5 (R5) ou 9,5 (R10) minutos desligada durante quatro períodos de 48h. No regime R5, o sistema de resfriamento estava acionado sem que os animais estivessem no local em 14,3% dos ciclos de aspersão. Já no sistema R10, foi de 13,4%, evidenciando um volume de água desperdiçado de 896 (28L/vaca/dia) e 404 (12,6L/vaca/dia) litros nos sistemas, R5 e R10, respectivamente. Estas estimativas mostram a importância de utilizar alternativas tecnológicas onde aspersão seja acionada apenas quando animais estão presentes, evitando-se uso indevido da água e da energia.</w:t>
      </w:r>
    </w:p>
    <w:p>
      <w:pPr>
        <w:pStyle w:val="LOnormal"/>
        <w:jc w:val="both"/>
        <w:rPr>
          <w:rFonts w:ascii="Arial" w:hAnsi="Arial"/>
          <w:b/>
          <w:b/>
          <w:bCs/>
          <w:color w:val="000000"/>
          <w:sz w:val="22"/>
          <w:szCs w:val="22"/>
          <w:lang w:val="pt-BR"/>
        </w:rPr>
      </w:pPr>
      <w:r>
        <w:rPr>
          <w:rFonts w:ascii="Arial" w:hAnsi="Arial"/>
          <w:b/>
          <w:bCs/>
          <w:color w:val="000000"/>
          <w:sz w:val="22"/>
          <w:szCs w:val="22"/>
          <w:lang w:val="pt-BR"/>
        </w:rPr>
      </w:r>
    </w:p>
    <w:p>
      <w:pPr>
        <w:pStyle w:val="LOnormal"/>
        <w:jc w:val="both"/>
        <w:rPr>
          <w:rFonts w:ascii="Arial" w:hAnsi="Arial"/>
          <w:color w:val="000000"/>
          <w:sz w:val="22"/>
          <w:szCs w:val="22"/>
          <w:u w:val="none" w:color="000000"/>
          <w:lang w:val="pt-BR"/>
        </w:rPr>
      </w:pPr>
      <w:r>
        <w:rPr>
          <w:rFonts w:ascii="Arial" w:hAnsi="Arial"/>
          <w:color w:val="000000"/>
          <w:sz w:val="22"/>
          <w:szCs w:val="22"/>
          <w:u w:val="none" w:color="000000"/>
          <w:lang w:val="pt-BR"/>
        </w:rPr>
      </w:r>
    </w:p>
    <w:p>
      <w:pPr>
        <w:pStyle w:val="LOnormal"/>
        <w:jc w:val="both"/>
        <w:rPr>
          <w:rFonts w:ascii="Arial" w:hAnsi="Arial"/>
          <w:color w:val="000000"/>
          <w:sz w:val="22"/>
          <w:szCs w:val="22"/>
          <w:lang w:val="pt-BR"/>
        </w:rPr>
      </w:pPr>
      <w:r>
        <w:rPr>
          <w:rFonts w:ascii="Arial" w:hAnsi="Arial"/>
          <w:b/>
          <w:bCs/>
          <w:color w:val="000000" w:themeColor="text1"/>
          <w:sz w:val="22"/>
          <w:szCs w:val="22"/>
          <w:lang w:val="pt-BR"/>
        </w:rPr>
        <w:t>Palavras-chave</w:t>
      </w:r>
      <w:r>
        <w:rPr>
          <w:rFonts w:ascii="Arial" w:hAnsi="Arial"/>
          <w:color w:val="000000" w:themeColor="text1"/>
          <w:sz w:val="22"/>
          <w:szCs w:val="22"/>
          <w:lang w:val="pt-BR"/>
        </w:rPr>
        <w:t>: aspersão, termorregulação, estresse térmico.</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color w:val="000000" w:themeColor="text1"/>
          <w:sz w:val="22"/>
          <w:szCs w:val="22"/>
          <w:lang w:val="pt-BR"/>
        </w:rPr>
      </w:pPr>
      <w:r>
        <w:rPr>
          <w:rFonts w:ascii="Arial" w:hAnsi="Arial"/>
          <w:b/>
          <w:bCs/>
          <w:color w:val="000000" w:themeColor="text1"/>
          <w:sz w:val="22"/>
          <w:szCs w:val="22"/>
          <w:lang w:val="pt-BR"/>
        </w:rPr>
        <w:t xml:space="preserve">Descrição do caso: </w:t>
      </w:r>
      <w:r>
        <w:rPr>
          <w:rFonts w:eastAsia="Arial" w:cs="Arial" w:ascii="Arial" w:hAnsi="Arial"/>
          <w:color w:val="000000" w:themeColor="text1"/>
          <w:sz w:val="22"/>
          <w:szCs w:val="22"/>
          <w:lang w:val="pt-BR"/>
        </w:rPr>
        <w:t xml:space="preserve">Estudo prévio comparou a utilização de aspersores (FloodJet ®, Spraying Systems Co., Wheaton, IL, EUA) na linha de comedouros de vacas leiteiras mantidas em </w:t>
      </w:r>
      <w:r>
        <w:rPr>
          <w:rFonts w:eastAsia="Arial" w:cs="Arial" w:ascii="Arial" w:hAnsi="Arial"/>
          <w:i/>
          <w:iCs/>
          <w:color w:val="000000" w:themeColor="text1"/>
          <w:sz w:val="22"/>
          <w:szCs w:val="22"/>
          <w:lang w:val="pt-BR"/>
        </w:rPr>
        <w:t>compost barn</w:t>
      </w:r>
      <w:r>
        <w:rPr>
          <w:rFonts w:eastAsia="Arial" w:cs="Arial" w:ascii="Arial" w:hAnsi="Arial"/>
          <w:color w:val="000000" w:themeColor="text1"/>
          <w:sz w:val="22"/>
          <w:szCs w:val="22"/>
          <w:lang w:val="pt-BR"/>
        </w:rPr>
        <w:t>, submetidas a regimes de 30 segundos de aspersão ligada, seguidas de períodos de 4,5 ou 9,5 minutos desligados (PERETTI et al., 2022). Neste trabalho, apesar do sistema de intermitência com intervalo de tempo desligado maior (9,5 minutos) resultar em economia substancial de água e energia, o uso de aspersores por 30 segundos, seguidos de intervalos de 4,5 minutos desligado melhorou o conforto térmico e a produção de leite das vacas. No entanto, dados não apresentados oriundos do trabalho de PERETTI et al. (2022) mostraram que em ambos os tratamentos, o sistema de aspersão associado à ventilação forçada permanecia ligado mesmo quando as vacas não estavam na linha do comedouro.</w:t>
      </w:r>
      <w:r>
        <w:rPr>
          <w:rFonts w:ascii="Arial" w:hAnsi="Arial"/>
          <w:color w:val="000000" w:themeColor="text1"/>
          <w:sz w:val="22"/>
          <w:szCs w:val="22"/>
          <w:lang w:val="pt-BR"/>
        </w:rPr>
        <w:t xml:space="preserve"> Assim, objetivou-se com este relato de caso </w:t>
      </w:r>
      <w:r>
        <w:rPr>
          <w:rFonts w:eastAsia="Arial" w:cs="Arial" w:ascii="Arial" w:hAnsi="Arial"/>
          <w:color w:val="000000" w:themeColor="text1"/>
          <w:sz w:val="22"/>
          <w:szCs w:val="22"/>
          <w:lang w:val="pt-BR"/>
        </w:rPr>
        <w:t>estimar o volume de água desperdiçado em um sistema de resfriamento evaporativo com dois esquemas de intermitência: 30 segundos de aspersão ligada seguidos de 4,5 (R5) ou 9,5 (R10) minutos desligado.</w:t>
      </w:r>
    </w:p>
    <w:p>
      <w:pPr>
        <w:pStyle w:val="LOnormal"/>
        <w:jc w:val="both"/>
        <w:rPr>
          <w:rFonts w:ascii="Arial" w:hAnsi="Arial"/>
          <w:color w:val="000000" w:themeColor="text1"/>
          <w:sz w:val="22"/>
          <w:szCs w:val="22"/>
          <w:lang w:val="pt-BR"/>
        </w:rPr>
      </w:pPr>
      <w:r>
        <w:rPr>
          <w:rFonts w:ascii="Arial" w:hAnsi="Arial"/>
          <w:color w:val="000000" w:themeColor="text1"/>
          <w:sz w:val="22"/>
          <w:szCs w:val="22"/>
          <w:lang w:val="pt-BR"/>
        </w:rPr>
        <w:t xml:space="preserve">O estudo foi realizado no município de Xavantina, Santa Catarina, Brasil e foram utilizadas oito vacas da raça Holandês, multíparas com DEL médio 145 ± 24 dias e média de 30 ± 5 kg/dia de produção de leite. O experimento contou com quatro períodos de 21 dias cada, considerando 14 dias de adaptação e 7 dias de coleta, entre janeiro e março de 2021. Os animais foram alojados em sistema de confinamento </w:t>
      </w:r>
      <w:r>
        <w:rPr>
          <w:rFonts w:ascii="Arial" w:hAnsi="Arial"/>
          <w:i/>
          <w:color w:val="000000" w:themeColor="text1"/>
          <w:sz w:val="22"/>
          <w:szCs w:val="22"/>
          <w:lang w:val="pt-BR"/>
        </w:rPr>
        <w:t>compost barn</w:t>
      </w:r>
      <w:r>
        <w:rPr>
          <w:rFonts w:ascii="Arial" w:hAnsi="Arial"/>
          <w:color w:val="000000" w:themeColor="text1"/>
          <w:sz w:val="22"/>
          <w:szCs w:val="22"/>
          <w:lang w:val="pt-BR"/>
        </w:rPr>
        <w:t>, em baias individuais com acesso livre à pista de alimentação e água, totalizando 16 m² por baia. O sistema de resfriamento dos animais utilizou ciclos de aspersão e ventilação constantes (a partir de 22,2ºC) e foram utilizados 10 aspersores, sendo cada um com vazão de quatro litros por minuto, dispostos sobre a linha de comedouro promovendo a aspersão nas regiões costal e lateral dos animais de forma individual. Cada bico aspersor foi posicionado na altura de 2m. As vacas foram divididas entre regime R5 (30s de aspersão ligada, 4,5min desligada) e R10 (30s de aspersão ligada, 9,5min desligada). Registradores automáticos de temperatura e umidade relativa do ar (HOBO, modelo U12) foram instalados em cada baia experimental, para registro das variáveis térmicas do microambiente e posterior cálculo do valor de ITU (índice de temperatura e umidade), de acordo com equação de THOM (1959), ITU = Ta + (0.36 x To) + 41.5. Onde: ITU = Índice de Temperatura e Umidade Ta = temperatura ambiente (ºC) To = temperatura do ponto de orvalho (ºC). O comportamento dos animais foi registrado nos dias D16 e D17 de cada período experimental (48 horas seguidas, totalizando 8 dias em todo experimento) por meio de câmeras acopladas no teto da instalação. As imagens foram analisadas posteriormente para registro da presença ou ausência dos animais no local resfriado (linha do comedouro). Com base no tempo em que a aspersão esteve acionada sem que os animais estivessem presentes no local resfriado, foi estimado o volume de água desperdiçada, considerando os dados de dimensionamento do sistema.</w:t>
      </w:r>
    </w:p>
    <w:p>
      <w:pPr>
        <w:pStyle w:val="LOnormal"/>
        <w:spacing w:lineRule="auto" w:line="259"/>
        <w:jc w:val="both"/>
        <w:rPr>
          <w:rFonts w:ascii="Arial" w:hAnsi="Arial"/>
          <w:color w:val="000000" w:themeColor="text1"/>
          <w:sz w:val="22"/>
          <w:szCs w:val="22"/>
          <w:lang w:val="pt-BR"/>
        </w:rPr>
      </w:pPr>
      <w:r>
        <w:rPr>
          <w:rFonts w:ascii="Arial" w:hAnsi="Arial"/>
          <w:color w:val="000000" w:themeColor="text1"/>
          <w:sz w:val="22"/>
          <w:szCs w:val="22"/>
          <w:lang w:val="pt-BR"/>
        </w:rPr>
      </w:r>
    </w:p>
    <w:p>
      <w:pPr>
        <w:pStyle w:val="LOnormal"/>
        <w:jc w:val="both"/>
        <w:rPr>
          <w:rFonts w:ascii="Arial" w:hAnsi="Arial" w:eastAsia="Arial" w:cs="Arial"/>
          <w:color w:val="000000" w:themeColor="text1"/>
          <w:sz w:val="22"/>
          <w:szCs w:val="22"/>
          <w:lang w:val="pt-BR"/>
        </w:rPr>
      </w:pPr>
      <w:r>
        <w:rPr>
          <w:rFonts w:ascii="Arial" w:hAnsi="Arial"/>
          <w:b/>
          <w:color w:val="000000" w:themeColor="text1"/>
          <w:sz w:val="22"/>
          <w:szCs w:val="22"/>
          <w:lang w:val="pt-BR"/>
        </w:rPr>
        <w:t xml:space="preserve">Resultados: </w:t>
      </w:r>
      <w:r>
        <w:rPr>
          <w:rFonts w:ascii="Arial" w:hAnsi="Arial"/>
          <w:color w:val="000000" w:themeColor="text1"/>
          <w:sz w:val="22"/>
          <w:szCs w:val="22"/>
          <w:lang w:val="pt-BR"/>
        </w:rPr>
        <w:t>A caracterização do ambiente térmico a que os animais estiveram submetidos mostrou que houve exposição a estresse por calor durante todo o período experimental (ITU médio de 72, no período das 8h00 às 20h00), considerando o limite de ITU definido por PINTO et al. (2020) como sendo de 65. Assim, as condições de temperatura em que este estudo foi realizado, representam os padrões típicas de períodos quentes no Oeste Catarinense, em que rotineiramente sistemas de resfriamento semelhantes ao descrito acima são largamente utilizados a campo.</w:t>
      </w:r>
    </w:p>
    <w:p>
      <w:pPr>
        <w:pStyle w:val="LOnormal"/>
        <w:jc w:val="both"/>
        <w:rPr>
          <w:rFonts w:ascii="Arial" w:hAnsi="Arial" w:eastAsia="Arial" w:cs="Arial"/>
          <w:color w:val="000000"/>
          <w:sz w:val="22"/>
          <w:szCs w:val="22"/>
          <w:lang w:val="pt-BR"/>
        </w:rPr>
      </w:pPr>
      <w:r>
        <w:drawing>
          <wp:anchor behindDoc="0" distT="0" distB="152400" distL="152400" distR="152400" simplePos="0" locked="0" layoutInCell="0" allowOverlap="1" relativeHeight="4">
            <wp:simplePos x="0" y="0"/>
            <wp:positionH relativeFrom="page">
              <wp:align>left</wp:align>
            </wp:positionH>
            <wp:positionV relativeFrom="page">
              <wp:align>top</wp:align>
            </wp:positionV>
            <wp:extent cx="7556500" cy="1115060"/>
            <wp:effectExtent l="0" t="0" r="0" b="0"/>
            <wp:wrapTopAndBottom/>
            <wp:docPr id="2" name="Imagem 1691213454"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691213454" descr="Cabeçalho SBSS-02.jpg"/>
                    <pic:cNvPicPr>
                      <a:picLocks noChangeAspect="1" noChangeArrowheads="1"/>
                    </pic:cNvPicPr>
                  </pic:nvPicPr>
                  <pic:blipFill>
                    <a:blip r:embed="rId3"/>
                    <a:stretch>
                      <a:fillRect/>
                    </a:stretch>
                  </pic:blipFill>
                  <pic:spPr bwMode="auto">
                    <a:xfrm>
                      <a:off x="0" y="0"/>
                      <a:ext cx="7556500" cy="1115060"/>
                    </a:xfrm>
                    <a:prstGeom prst="rect">
                      <a:avLst/>
                    </a:prstGeom>
                  </pic:spPr>
                </pic:pic>
              </a:graphicData>
            </a:graphic>
          </wp:anchor>
        </w:drawing>
      </w:r>
      <w:r>
        <w:rPr>
          <w:rFonts w:ascii="Arial" w:hAnsi="Arial"/>
          <w:color w:val="000000"/>
          <w:sz w:val="22"/>
          <w:szCs w:val="22"/>
          <w:lang w:val="pt-BR"/>
        </w:rPr>
        <w:t xml:space="preserve">Considerando todo o período avaliado (48 horas de avaliação comportamental contínua em cada um dos quatro períodos experimentais, totalizando 8 dias de registro), foi possível identificar que no regime de aspersão R5, o sistema foi acionado 1570 vezes, e destas, 1346 contaram com a presença de animais na pista. Já no regime de aspersão R10, o sistema foi acionado 754 vezes e destas, somente 653 contaram com a presença de animais na pista, evidenciando o alto volume de água gasto sem a presença dos animais. Estes dados representam que </w:t>
      </w:r>
      <w:r>
        <w:rPr>
          <w:rFonts w:eastAsia="Arial" w:cs="Arial" w:ascii="Arial" w:hAnsi="Arial"/>
          <w:color w:val="000000" w:themeColor="text1"/>
          <w:sz w:val="22"/>
          <w:szCs w:val="22"/>
        </w:rPr>
        <w:t>o sistema de resfriamento estava acionado sem que os animais estivessem no local em 14,3% dos ciclos de aspersão no R5 e 13,4% no R10, o que gerou um volume de água desperdiçado de 896 litros (111,8 L diário) e 404 (50,5 L diário) litros nos sistemas R5 e R10, respectivamente. Quando avaliamos o desperdício por vaca, o volume no regime R5 foi de 28 litros por animal/dia e no regime R10 o desperdício foi de 12,62 litros, valores que permitem a extrapolação desta estimativa para condições de campo.</w:t>
      </w:r>
    </w:p>
    <w:p>
      <w:pPr>
        <w:pStyle w:val="LOnormal"/>
        <w:jc w:val="both"/>
        <w:rPr>
          <w:rFonts w:ascii="Arial" w:hAnsi="Arial"/>
          <w:color w:val="000000" w:themeColor="text1"/>
          <w:sz w:val="22"/>
          <w:szCs w:val="22"/>
          <w:lang w:val="pt-BR"/>
        </w:rPr>
      </w:pPr>
      <w:r>
        <w:rPr>
          <w:rFonts w:ascii="Arial" w:hAnsi="Arial"/>
          <w:color w:val="000000" w:themeColor="text1"/>
          <w:sz w:val="22"/>
          <w:szCs w:val="22"/>
          <w:lang w:val="pt-BR"/>
        </w:rPr>
        <w:t>A utilização de regimes de aspersão com maiores intervalos de tempo desligado, como é o caso do R10 pode ser uma alternativa para reduzir o volume de água utilizado para resfriamento evaporativo de vacas leiteiras (Figura 1), no entanto, a eficiência da mitigação do calor deve ser avaliada e considerada nas tomadas de decisão. No entanto, o desperdício de água no sistema R10 foi cerca de 55% menor quando comparado ao R5.</w:t>
      </w:r>
    </w:p>
    <w:p>
      <w:pPr>
        <w:pStyle w:val="LOnormal"/>
        <w:jc w:val="both"/>
        <w:rPr>
          <w:rFonts w:ascii="Arial" w:hAnsi="Arial"/>
          <w:color w:val="000000" w:themeColor="text1"/>
          <w:sz w:val="22"/>
          <w:szCs w:val="22"/>
          <w:lang w:val="pt-BR"/>
        </w:rPr>
      </w:pPr>
      <w:r>
        <w:rPr>
          <w:rFonts w:ascii="Arial" w:hAnsi="Arial"/>
          <w:color w:val="000000" w:themeColor="text1"/>
          <w:sz w:val="22"/>
          <w:szCs w:val="22"/>
          <w:lang w:val="pt-BR"/>
        </w:rPr>
      </w:r>
    </w:p>
    <w:p>
      <w:pPr>
        <w:pStyle w:val="LOnormal"/>
        <w:jc w:val="center"/>
        <w:rPr>
          <w:rFonts w:ascii="Arial" w:hAnsi="Arial" w:eastAsia="Arial" w:cs="Arial"/>
          <w:color w:val="000000"/>
          <w:sz w:val="22"/>
          <w:szCs w:val="22"/>
          <w:u w:val="none" w:color="000000"/>
          <w:lang w:val="pt-BR"/>
        </w:rPr>
      </w:pPr>
      <w:r>
        <w:rPr/>
        <w:drawing>
          <wp:inline distT="0" distB="0" distL="0" distR="0">
            <wp:extent cx="4595495" cy="2744470"/>
            <wp:effectExtent l="0" t="0" r="0" b="0"/>
            <wp:docPr id="3"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pPr>
        <w:pStyle w:val="LOnormal"/>
        <w:rPr>
          <w:rFonts w:ascii="Arial" w:hAnsi="Arial"/>
          <w:color w:val="000000" w:themeColor="text1"/>
          <w:sz w:val="22"/>
          <w:szCs w:val="22"/>
          <w:lang w:val="pt-BR"/>
        </w:rPr>
      </w:pPr>
      <w:r>
        <w:rPr>
          <w:rFonts w:ascii="Arial" w:hAnsi="Arial"/>
          <w:color w:val="000000" w:themeColor="text1"/>
          <w:sz w:val="22"/>
          <w:szCs w:val="22"/>
          <w:lang w:val="pt-BR"/>
        </w:rPr>
        <w:t>Figura 1. Volume total de água utilizado pelo acionamento da aspersão e volume desperdiçado de água nos sistemas R5 e R10.</w:t>
      </w:r>
    </w:p>
    <w:p>
      <w:pPr>
        <w:pStyle w:val="LOnormal"/>
        <w:rPr>
          <w:rFonts w:ascii="Arial" w:hAnsi="Arial"/>
          <w:color w:val="000000"/>
          <w:sz w:val="22"/>
          <w:szCs w:val="22"/>
          <w:lang w:val="pt-BR"/>
        </w:rPr>
      </w:pPr>
      <w:r>
        <w:rPr>
          <w:rFonts w:ascii="Arial" w:hAnsi="Arial"/>
          <w:color w:val="000000" w:themeColor="text1"/>
          <w:sz w:val="22"/>
          <w:szCs w:val="22"/>
          <w:lang w:val="pt-BR"/>
        </w:rPr>
        <w:t>Fonte: Elaborado pela autora, (2023).</w:t>
      </w:r>
    </w:p>
    <w:p>
      <w:pPr>
        <w:pStyle w:val="LOnormal"/>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Normal"/>
        <w:spacing w:lineRule="auto" w:line="259"/>
        <w:jc w:val="both"/>
        <w:rPr>
          <w:rFonts w:ascii="Arial" w:hAnsi="Arial" w:eastAsia="Arial" w:cs="Arial"/>
          <w:color w:val="000000" w:themeColor="text1"/>
          <w:sz w:val="22"/>
          <w:szCs w:val="22"/>
        </w:rPr>
      </w:pPr>
      <w:r>
        <w:rPr>
          <w:rFonts w:ascii="Arial" w:hAnsi="Arial"/>
          <w:b/>
          <w:color w:val="000000" w:themeColor="text1"/>
          <w:sz w:val="22"/>
          <w:szCs w:val="22"/>
        </w:rPr>
        <w:t xml:space="preserve">Conclusão: </w:t>
      </w:r>
      <w:r>
        <w:rPr>
          <w:rFonts w:ascii="Arial" w:hAnsi="Arial"/>
          <w:color w:val="000000" w:themeColor="text1"/>
          <w:sz w:val="22"/>
          <w:szCs w:val="22"/>
        </w:rPr>
        <w:t>Este relato de caso foi executado em escala experimental, porém, é possível realizar a extrapolação dos volumes estimados de água desperdiçada para níveis comerciais. Utilizar regimes de aspersão com maiores tempos de intermitência reduz o uso total da água e, por consequência, o volume desperdiçado, já que a avaliação comportamental mostrou que em parte do tempo os animais não permanecem no local resfriado da instalação. Este estudo mostra que</w:t>
      </w:r>
      <w:r>
        <w:rPr>
          <w:rFonts w:eastAsia="Arial" w:cs="Arial" w:ascii="Arial" w:hAnsi="Arial"/>
          <w:color w:val="000000" w:themeColor="text1"/>
          <w:sz w:val="22"/>
          <w:szCs w:val="22"/>
        </w:rPr>
        <w:t xml:space="preserve"> a cadeia produtiva do leite deve investir em alternativas tecnológicas que permitam que utilizada para aspersão seja acionada apenas quando animais estão presentes no local, evitando-se uso indevido da água e da energia.</w:t>
      </w:r>
    </w:p>
    <w:p>
      <w:pPr>
        <w:pStyle w:val="LOnormal"/>
        <w:spacing w:lineRule="auto" w:line="259"/>
        <w:jc w:val="both"/>
        <w:rPr>
          <w:rFonts w:ascii="Arial" w:hAnsi="Arial"/>
          <w:color w:val="000000" w:themeColor="text1"/>
          <w:sz w:val="22"/>
          <w:szCs w:val="22"/>
          <w:lang w:val="pt-BR"/>
        </w:rPr>
      </w:pPr>
      <w:r>
        <w:rPr>
          <w:rFonts w:ascii="Arial" w:hAnsi="Arial"/>
          <w:color w:val="000000" w:themeColor="text1"/>
          <w:sz w:val="22"/>
          <w:szCs w:val="22"/>
          <w:lang w:val="pt-BR"/>
        </w:rPr>
      </w:r>
    </w:p>
    <w:p>
      <w:pPr>
        <w:pStyle w:val="LOnormal"/>
        <w:jc w:val="both"/>
        <w:rPr>
          <w:rFonts w:ascii="Arial" w:hAnsi="Arial" w:eastAsia="Arial" w:cs="Arial"/>
          <w:b/>
          <w:b/>
          <w:bCs/>
          <w:color w:val="000000"/>
          <w:sz w:val="22"/>
          <w:szCs w:val="22"/>
          <w:u w:val="none" w:color="000000"/>
          <w:lang w:val="pt-BR"/>
        </w:rPr>
      </w:pPr>
      <w:r>
        <w:rPr>
          <w:rFonts w:eastAsia="Arial" w:cs="Arial" w:ascii="Arial" w:hAnsi="Arial"/>
          <w:b/>
          <w:bCs/>
          <w:color w:val="000000"/>
          <w:sz w:val="22"/>
          <w:szCs w:val="22"/>
          <w:u w:val="none" w:color="000000"/>
          <w:lang w:val="pt-BR"/>
        </w:rPr>
      </w:r>
    </w:p>
    <w:p>
      <w:pPr>
        <w:pStyle w:val="LOnormal"/>
        <w:jc w:val="both"/>
        <w:rPr>
          <w:rFonts w:ascii="Arial" w:hAnsi="Arial"/>
          <w:color w:val="000000"/>
          <w:sz w:val="22"/>
          <w:szCs w:val="22"/>
          <w:u w:val="none" w:color="000000"/>
          <w:lang w:val="pt-BR"/>
        </w:rPr>
      </w:pPr>
      <w:r>
        <w:rPr>
          <w:rFonts w:ascii="Arial" w:hAnsi="Arial"/>
          <w:b/>
          <w:bCs/>
          <w:color w:val="000000"/>
          <w:sz w:val="22"/>
          <w:szCs w:val="22"/>
          <w:u w:val="none" w:color="000000"/>
          <w:lang w:val="pt-BR"/>
        </w:rPr>
        <w:t>Agradecimento: Instituição de fomento ou colaborador do projeto</w:t>
      </w:r>
      <w:r>
        <w:rPr>
          <w:rFonts w:ascii="Arial" w:hAnsi="Arial"/>
          <w:color w:val="000000"/>
          <w:sz w:val="22"/>
          <w:szCs w:val="22"/>
          <w:u w:val="none" w:color="000000"/>
          <w:lang w:val="pt-BR"/>
        </w:rPr>
        <w:t>: CAPES (Coordenação de Aperfeiçoamento de Pessoal de Nível Superior) e da NutriQuest pelo financiamento financeiro.</w:t>
      </w:r>
    </w:p>
    <w:p>
      <w:pPr>
        <w:pStyle w:val="LOnormal"/>
        <w:jc w:val="both"/>
        <w:rPr>
          <w:rFonts w:ascii="Arial" w:hAnsi="Arial" w:eastAsia="Arial" w:cs="Arial"/>
          <w:b/>
          <w:b/>
          <w:bCs/>
          <w:color w:val="000000"/>
          <w:sz w:val="22"/>
          <w:szCs w:val="22"/>
          <w:u w:val="none" w:color="000000"/>
          <w:lang w:val="pt-BR"/>
        </w:rPr>
      </w:pPr>
      <w:r>
        <w:rPr>
          <w:rFonts w:eastAsia="Arial" w:cs="Arial" w:ascii="Arial" w:hAnsi="Arial"/>
          <w:b/>
          <w:bCs/>
          <w:color w:val="000000"/>
          <w:sz w:val="22"/>
          <w:szCs w:val="22"/>
          <w:u w:val="none" w:color="000000"/>
          <w:lang w:val="pt-BR"/>
        </w:rPr>
      </w:r>
    </w:p>
    <w:p>
      <w:pPr>
        <w:pStyle w:val="LOnormal"/>
        <w:jc w:val="both"/>
        <w:rPr>
          <w:rFonts w:ascii="Arial" w:hAnsi="Arial"/>
          <w:b/>
          <w:b/>
          <w:bCs/>
          <w:color w:val="000000"/>
          <w:sz w:val="22"/>
          <w:szCs w:val="22"/>
          <w:u w:val="none" w:color="000000"/>
          <w:lang w:val="pt-BR"/>
        </w:rPr>
      </w:pPr>
      <w:r>
        <w:rPr>
          <w:rFonts w:ascii="Arial" w:hAnsi="Arial"/>
          <w:b/>
          <w:bCs/>
          <w:color w:val="000000"/>
          <w:sz w:val="22"/>
          <w:szCs w:val="22"/>
          <w:u w:val="none" w:color="000000"/>
          <w:lang w:val="pt-BR"/>
        </w:rPr>
        <w:t xml:space="preserve">Referências: </w:t>
      </w:r>
    </w:p>
    <w:p>
      <w:pPr>
        <w:pStyle w:val="LOnormal"/>
        <w:jc w:val="both"/>
        <w:rPr>
          <w:rFonts w:ascii="Arial" w:hAnsi="Arial"/>
          <w:b/>
          <w:b/>
          <w:bCs/>
          <w:color w:val="000000"/>
          <w:sz w:val="22"/>
          <w:szCs w:val="22"/>
          <w:u w:val="none" w:color="000000"/>
          <w:lang w:val="pt-BR"/>
        </w:rPr>
      </w:pPr>
      <w:r>
        <w:rPr>
          <w:rFonts w:ascii="Arial" w:hAnsi="Arial"/>
          <w:b/>
          <w:bCs/>
          <w:color w:val="000000"/>
          <w:sz w:val="22"/>
          <w:szCs w:val="22"/>
          <w:u w:val="none" w:color="000000"/>
          <w:lang w:val="pt-BR"/>
        </w:rPr>
      </w:r>
    </w:p>
    <w:p>
      <w:pPr>
        <w:pStyle w:val="LOnormal"/>
        <w:jc w:val="both"/>
        <w:rPr>
          <w:rFonts w:ascii="Arial" w:hAnsi="Arial" w:cs="Arial"/>
          <w:sz w:val="22"/>
          <w:szCs w:val="22"/>
        </w:rPr>
      </w:pPr>
      <w:r>
        <w:rPr>
          <w:rFonts w:cs="Arial" w:ascii="Arial" w:hAnsi="Arial"/>
          <w:sz w:val="22"/>
          <w:szCs w:val="22"/>
        </w:rPr>
        <w:t xml:space="preserve">PERETTI, S.; ROSA, V.D.; ZOTTI, M.L.A.N.; PRESTES, A.M.; FERRAZ, P.F.P.; da SILVA, A.S.; ZOTTI, C.A. Thermoregulation and Performance of Dairy Cows Subjected to Different Evaporative Cooling Regimens, with or without Pepper Extract Supplementation. </w:t>
      </w:r>
      <w:r>
        <w:rPr>
          <w:rFonts w:cs="Arial" w:ascii="Arial" w:hAnsi="Arial"/>
          <w:b/>
          <w:bCs/>
          <w:sz w:val="22"/>
          <w:szCs w:val="22"/>
        </w:rPr>
        <w:t>Animals</w:t>
      </w:r>
      <w:r>
        <w:rPr>
          <w:rFonts w:cs="Arial" w:ascii="Arial" w:hAnsi="Arial"/>
          <w:sz w:val="22"/>
          <w:szCs w:val="22"/>
        </w:rPr>
        <w:t xml:space="preserve">, 12, 3180, 2022. DOI: </w:t>
      </w:r>
      <w:hyperlink r:id="rId5">
        <w:r>
          <w:rPr>
            <w:rStyle w:val="LinkdaInternet"/>
            <w:rFonts w:cs="Arial" w:ascii="Arial" w:hAnsi="Arial"/>
            <w:sz w:val="22"/>
            <w:szCs w:val="22"/>
          </w:rPr>
          <w:t>https://doi.org/10.3390/ani12223180</w:t>
        </w:r>
      </w:hyperlink>
      <w:r>
        <w:rPr>
          <w:rFonts w:cs="Arial" w:ascii="Arial" w:hAnsi="Arial"/>
          <w:sz w:val="22"/>
          <w:szCs w:val="22"/>
        </w:rPr>
        <w:t xml:space="preserve"> </w:t>
      </w:r>
    </w:p>
    <w:p>
      <w:pPr>
        <w:pStyle w:val="LOnormal"/>
        <w:jc w:val="both"/>
        <w:rPr>
          <w:rFonts w:ascii="Arial" w:hAnsi="Arial" w:cs="Arial"/>
          <w:sz w:val="22"/>
          <w:szCs w:val="22"/>
        </w:rPr>
      </w:pPr>
      <w:r>
        <w:rPr>
          <w:rFonts w:cs="Arial" w:ascii="Arial" w:hAnsi="Arial"/>
          <w:sz w:val="22"/>
          <w:szCs w:val="22"/>
        </w:rPr>
      </w:r>
    </w:p>
    <w:p>
      <w:pPr>
        <w:pStyle w:val="LOnormal"/>
        <w:jc w:val="both"/>
        <w:rPr>
          <w:rFonts w:ascii="Arial" w:hAnsi="Arial" w:cs="Arial"/>
          <w:sz w:val="22"/>
          <w:szCs w:val="22"/>
          <w:lang w:val="pt-BR"/>
        </w:rPr>
      </w:pPr>
      <w:r>
        <w:rPr>
          <w:rFonts w:cs="Arial" w:ascii="Arial" w:hAnsi="Arial"/>
          <w:sz w:val="22"/>
          <w:szCs w:val="22"/>
          <w:lang w:val="pt-BR"/>
        </w:rPr>
        <w:t xml:space="preserve">PINTO, S.; HOFFMANN, G.; AMMON, C.; and AMON, T. Critical THI thresholds based on the physiological parameters of lactating dairy cows. </w:t>
      </w:r>
      <w:r>
        <w:rPr>
          <w:rFonts w:cs="Arial" w:ascii="Arial" w:hAnsi="Arial"/>
          <w:b/>
          <w:bCs/>
          <w:sz w:val="22"/>
          <w:szCs w:val="22"/>
          <w:lang w:val="pt-BR"/>
        </w:rPr>
        <w:t>Journal of Thermal Biology</w:t>
      </w:r>
      <w:r>
        <w:rPr>
          <w:rFonts w:cs="Arial" w:ascii="Arial" w:hAnsi="Arial"/>
          <w:sz w:val="22"/>
          <w:szCs w:val="22"/>
          <w:lang w:val="pt-BR"/>
        </w:rPr>
        <w:t xml:space="preserve">. 88: 102523, 2020. DOI: </w:t>
      </w:r>
      <w:hyperlink r:id="rId6">
        <w:r>
          <w:rPr>
            <w:rStyle w:val="LinkdaInternet"/>
            <w:rFonts w:cs="Arial" w:ascii="Arial" w:hAnsi="Arial"/>
            <w:sz w:val="22"/>
            <w:szCs w:val="22"/>
            <w:lang w:val="pt-BR"/>
          </w:rPr>
          <w:t>https://doi.org/10.1016/j.jtherbio.2020.102523</w:t>
        </w:r>
      </w:hyperlink>
      <w:r>
        <w:rPr>
          <w:rFonts w:cs="Arial" w:ascii="Arial" w:hAnsi="Arial"/>
          <w:sz w:val="22"/>
          <w:szCs w:val="22"/>
          <w:lang w:val="pt-BR"/>
        </w:rPr>
        <w:t xml:space="preserve">  </w:t>
      </w:r>
    </w:p>
    <w:p>
      <w:pPr>
        <w:pStyle w:val="LOnormal"/>
        <w:jc w:val="both"/>
        <w:rPr>
          <w:rFonts w:ascii="Arial" w:hAnsi="Arial" w:cs="Arial"/>
          <w:sz w:val="22"/>
          <w:szCs w:val="22"/>
          <w:lang w:val="pt-BR"/>
        </w:rPr>
      </w:pPr>
      <w:r>
        <w:rPr>
          <w:rFonts w:cs="Arial" w:ascii="Arial" w:hAnsi="Arial"/>
          <w:sz w:val="22"/>
          <w:szCs w:val="22"/>
          <w:lang w:val="pt-BR"/>
        </w:rPr>
      </w:r>
    </w:p>
    <w:p>
      <w:pPr>
        <w:pStyle w:val="LOnormal"/>
        <w:jc w:val="both"/>
        <w:rPr>
          <w:rFonts w:ascii="Arial" w:hAnsi="Arial" w:cs="Arial"/>
          <w:sz w:val="22"/>
          <w:szCs w:val="22"/>
          <w:lang w:val="pt-BR"/>
        </w:rPr>
      </w:pPr>
      <w:r>
        <w:rPr>
          <w:rFonts w:cs="Arial" w:ascii="Arial" w:hAnsi="Arial"/>
          <w:sz w:val="22"/>
          <w:szCs w:val="22"/>
          <w:lang w:val="pt-BR"/>
        </w:rPr>
        <w:t xml:space="preserve">THOM, E.C. The Discomfort Index. </w:t>
      </w:r>
      <w:r>
        <w:rPr>
          <w:rFonts w:cs="Arial" w:ascii="Arial" w:hAnsi="Arial"/>
          <w:b/>
          <w:bCs/>
          <w:sz w:val="22"/>
          <w:szCs w:val="22"/>
          <w:lang w:val="pt-BR"/>
        </w:rPr>
        <w:t>Weatherwis</w:t>
      </w:r>
      <w:r>
        <w:rPr>
          <w:rFonts w:cs="Arial" w:ascii="Arial" w:hAnsi="Arial"/>
          <w:sz w:val="22"/>
          <w:szCs w:val="22"/>
          <w:lang w:val="pt-BR"/>
        </w:rPr>
        <w:t xml:space="preserve"> 12: 57–61</w:t>
      </w:r>
      <w:r>
        <w:drawing>
          <wp:anchor behindDoc="0" distT="152400" distB="152400" distL="152400" distR="152400" simplePos="0" locked="0" layoutInCell="0" allowOverlap="1" relativeHeight="2">
            <wp:simplePos x="0" y="0"/>
            <wp:positionH relativeFrom="page">
              <wp:posOffset>0</wp:posOffset>
            </wp:positionH>
            <wp:positionV relativeFrom="page">
              <wp:posOffset>0</wp:posOffset>
            </wp:positionV>
            <wp:extent cx="7556500" cy="1115060"/>
            <wp:effectExtent l="0" t="0" r="0" b="0"/>
            <wp:wrapTopAndBottom/>
            <wp:docPr id="4" name="Imagem 1073741827"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073741827" descr="Cabeçalho SBSS-02.jpg"/>
                    <pic:cNvPicPr>
                      <a:picLocks noChangeAspect="1" noChangeArrowheads="1"/>
                    </pic:cNvPicPr>
                  </pic:nvPicPr>
                  <pic:blipFill>
                    <a:blip r:embed="rId7"/>
                    <a:stretch>
                      <a:fillRect/>
                    </a:stretch>
                  </pic:blipFill>
                  <pic:spPr bwMode="auto">
                    <a:xfrm>
                      <a:off x="0" y="0"/>
                      <a:ext cx="7556500" cy="1115060"/>
                    </a:xfrm>
                    <a:prstGeom prst="rect">
                      <a:avLst/>
                    </a:prstGeom>
                  </pic:spPr>
                </pic:pic>
              </a:graphicData>
            </a:graphic>
          </wp:anchor>
        </w:drawing>
      </w:r>
      <w:r>
        <w:rPr>
          <w:rFonts w:cs="Arial" w:ascii="Arial" w:hAnsi="Arial"/>
          <w:sz w:val="22"/>
          <w:szCs w:val="22"/>
          <w:lang w:val="pt-BR"/>
        </w:rPr>
        <w:t xml:space="preserve">, 1959. DOI: </w:t>
      </w:r>
      <w:hyperlink r:id="rId8">
        <w:r>
          <w:rPr>
            <w:rStyle w:val="LinkdaInternet"/>
            <w:rFonts w:cs="Arial" w:ascii="Arial" w:hAnsi="Arial"/>
            <w:sz w:val="22"/>
            <w:szCs w:val="22"/>
            <w:lang w:val="pt-BR"/>
          </w:rPr>
          <w:t>https://doi.org/10.1080/00431672.1959.9926960</w:t>
        </w:r>
      </w:hyperlink>
      <w:r>
        <w:rPr>
          <w:rFonts w:cs="Arial" w:ascii="Arial" w:hAnsi="Arial"/>
          <w:sz w:val="22"/>
          <w:szCs w:val="22"/>
          <w:lang w:val="pt-BR"/>
        </w:rPr>
        <w:t xml:space="preserve"> </w:t>
      </w:r>
    </w:p>
    <w:sectPr>
      <w:type w:val="nextPage"/>
      <w:pgSz w:w="11906" w:h="16838"/>
      <w:pgMar w:left="1418" w:right="1418" w:gutter="0" w:header="0" w:top="1418"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Cambria">
    <w:charset w:val="00"/>
    <w:family w:val="roman"/>
    <w:pitch w:val="variable"/>
  </w:font>
  <w:font w:name="Helvetica Neue">
    <w:charset w:val="00"/>
    <w:family w:val="roman"/>
    <w:pitch w:val="variable"/>
  </w:font>
  <w:font w:name="Arial">
    <w:charset w:val="00"/>
    <w:family w:val="roman"/>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false"/>
      <w:bidi w:val="0"/>
      <w:spacing w:before="0" w:after="0"/>
      <w:jc w:val="left"/>
    </w:pPr>
    <w:rPr>
      <w:rFonts w:ascii="Times New Roman" w:hAnsi="Times New Roman" w:eastAsia="Arial Unicode MS" w:cs="Times New Roman"/>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LinkdaInternet" w:customStyle="1">
    <w:name w:val="Link da Internet"/>
    <w:rPr>
      <w:u w:val="single"/>
    </w:rPr>
  </w:style>
  <w:style w:type="character" w:styleId="CabealhoChar" w:customStyle="1">
    <w:name w:val="Cabeçalho Char"/>
    <w:basedOn w:val="DefaultParagraphFont"/>
    <w:uiPriority w:val="99"/>
    <w:qFormat/>
    <w:rsid w:val="001c06ee"/>
    <w:rPr>
      <w:sz w:val="24"/>
      <w:szCs w:val="24"/>
      <w:lang w:val="en-US" w:eastAsia="en-US"/>
    </w:rPr>
  </w:style>
  <w:style w:type="character" w:styleId="RodapChar" w:customStyle="1">
    <w:name w:val="Rodapé Char"/>
    <w:basedOn w:val="DefaultParagraphFont"/>
    <w:uiPriority w:val="99"/>
    <w:qFormat/>
    <w:rsid w:val="001c06ee"/>
    <w:rPr>
      <w:sz w:val="24"/>
      <w:szCs w:val="24"/>
      <w:lang w:val="en-US" w:eastAsia="en-US"/>
    </w:rPr>
  </w:style>
  <w:style w:type="character" w:styleId="MenoPendente1" w:customStyle="1">
    <w:name w:val="Menção Pendente1"/>
    <w:basedOn w:val="DefaultParagraphFont"/>
    <w:uiPriority w:val="99"/>
    <w:semiHidden/>
    <w:unhideWhenUsed/>
    <w:qFormat/>
    <w:rsid w:val="00075e77"/>
    <w:rPr>
      <w:color w:val="605E5C"/>
      <w:shd w:fill="E1DFDD" w:val="clear"/>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tulododocumento">
    <w:name w:val="Title"/>
    <w:basedOn w:val="Normal"/>
    <w:next w:val="Corpodotexto"/>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rPr>
  </w:style>
  <w:style w:type="paragraph" w:styleId="LOnormal" w:customStyle="1">
    <w:name w:val="LO-normal"/>
    <w:qFormat/>
    <w:pPr>
      <w:widowControl/>
      <w:suppressAutoHyphens w:val="true"/>
      <w:bidi w:val="0"/>
      <w:spacing w:before="0" w:after="0"/>
      <w:jc w:val="left"/>
    </w:pPr>
    <w:rPr>
      <w:rFonts w:ascii="Cambria" w:hAnsi="Cambria" w:eastAsia="Arial Unicode MS" w:cs="Arial Unicode MS"/>
      <w:color w:val="00000A"/>
      <w:kern w:val="0"/>
      <w:sz w:val="24"/>
      <w:szCs w:val="24"/>
      <w:u w:val="none" w:color="00000A"/>
      <w:lang w:val="en-US" w:eastAsia="pt-BR" w:bidi="ar-SA"/>
    </w:rPr>
  </w:style>
  <w:style w:type="paragraph" w:styleId="CabealhoeRodap" w:customStyle="1">
    <w:name w:val="Cabeçalho e Rodapé"/>
    <w:qFormat/>
    <w:pPr>
      <w:widowControl/>
      <w:tabs>
        <w:tab w:val="clear" w:pos="720"/>
        <w:tab w:val="right" w:pos="9020" w:leader="none"/>
      </w:tabs>
      <w:suppressAutoHyphens w:val="true"/>
      <w:bidi w:val="0"/>
      <w:spacing w:before="0" w:after="0"/>
      <w:jc w:val="left"/>
    </w:pPr>
    <w:rPr>
      <w:rFonts w:ascii="Helvetica Neue" w:hAnsi="Helvetica Neue" w:eastAsia="Arial Unicode MS" w:cs="Arial Unicode MS"/>
      <w:color w:val="000000"/>
      <w:kern w:val="0"/>
      <w:sz w:val="24"/>
      <w:szCs w:val="24"/>
      <w:lang w:val="pt-BR" w:eastAsia="pt-BR" w:bidi="ar-SA"/>
      <w14:textOutline w14:w="0" w14:cap="flat" w14:cmpd="sng" w14:algn="ctr">
        <w14:noFill/>
        <w14:prstDash w14:val="solid"/>
        <w14:bevel/>
      </w14:textOutline>
    </w:rPr>
  </w:style>
  <w:style w:type="paragraph" w:styleId="Cabealho">
    <w:name w:val="Header"/>
    <w:basedOn w:val="Normal"/>
    <w:link w:val="CabealhoChar"/>
    <w:uiPriority w:val="99"/>
    <w:unhideWhenUsed/>
    <w:rsid w:val="001c06ee"/>
    <w:pPr>
      <w:tabs>
        <w:tab w:val="clear" w:pos="720"/>
        <w:tab w:val="center" w:pos="4252" w:leader="none"/>
        <w:tab w:val="right" w:pos="8504" w:leader="none"/>
      </w:tabs>
    </w:pPr>
    <w:rPr/>
  </w:style>
  <w:style w:type="paragraph" w:styleId="Rodap">
    <w:name w:val="Footer"/>
    <w:basedOn w:val="Normal"/>
    <w:link w:val="RodapChar"/>
    <w:uiPriority w:val="99"/>
    <w:unhideWhenUsed/>
    <w:rsid w:val="001c06ee"/>
    <w:pPr>
      <w:tabs>
        <w:tab w:val="clear" w:pos="720"/>
        <w:tab w:val="center" w:pos="4252" w:leader="none"/>
        <w:tab w:val="right" w:pos="8504" w:leader="none"/>
      </w:tabs>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1">
    <w:name w:val="Table Normal1"/>
    <w:rsid w:val="001c06ee"/>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chart" Target="charts/chart1.xml"/><Relationship Id="rId5" Type="http://schemas.openxmlformats.org/officeDocument/2006/relationships/hyperlink" Target="https://doi.org/10.3390/ani12223180" TargetMode="External"/><Relationship Id="rId6" Type="http://schemas.openxmlformats.org/officeDocument/2006/relationships/hyperlink" Target="https://doi.org/10.1016/j.jtherbio.2020.102523" TargetMode="External"/><Relationship Id="rId7" Type="http://schemas.openxmlformats.org/officeDocument/2006/relationships/image" Target="media/image1.jpeg"/><Relationship Id="rId8" Type="http://schemas.openxmlformats.org/officeDocument/2006/relationships/hyperlink" Target="https://doi.org/10.1080/00431672.1959.9926960" TargetMode="Externa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 Id="rId13" Type="http://schemas.openxmlformats.org/officeDocument/2006/relationships/customXml" Target="../customXml/item2.xml"/><Relationship Id="rId14" Type="http://schemas.openxmlformats.org/officeDocument/2006/relationships/customXml" Target="../customXml/item3.xml"/>
</Relationships>
</file>

<file path=word/charts/_rels/chart1.xml.rels><?xml version="1.0" encoding="UTF-8"?>
<Relationships xmlns="http://schemas.openxmlformats.org/package/2006/relationships"><Relationship Id="rId1" Type="http://schemas.openxmlformats.org/officeDocument/2006/relationships/chartUserShapes" Target="../drawings/drawing2.xml"/>
</Relationships>
</file>

<file path=word/charts/chart1.xml><?xml version="1.0" encoding="utf-8"?>
<c:chartSpace xmlns:c="http://schemas.openxmlformats.org/drawingml/2006/chart" xmlns:a="http://schemas.openxmlformats.org/drawingml/2006/main" xmlns:r="http://schemas.openxmlformats.org/officeDocument/2006/relationships">
  <c:lang val="en-US"/>
  <c:roundedCorners val="0"/>
  <c:chart>
    <c:autoTitleDeleted val="1"/>
    <c:plotArea>
      <c:layout>
        <c:manualLayout>
          <c:layoutTarget val="inner"/>
          <c:xMode val="edge"/>
          <c:yMode val="edge"/>
          <c:x val="0.1500625"/>
          <c:y val="0.106888888888889"/>
          <c:w val="0.7683125"/>
          <c:h val="0.670111111111111"/>
        </c:manualLayout>
      </c:layout>
      <c:barChart>
        <c:barDir val="col"/>
        <c:grouping val="clustered"/>
        <c:varyColors val="0"/>
        <c:ser>
          <c:idx val="0"/>
          <c:order val="0"/>
          <c:tx>
            <c:strRef>
              <c:f>label 0</c:f>
              <c:strCache>
                <c:ptCount val="1"/>
                <c:pt idx="0">
                  <c:v>Volume de água gasto</c:v>
                </c:pt>
              </c:strCache>
            </c:strRef>
          </c:tx>
          <c:spPr>
            <a:solidFill>
              <a:srgbClr val="ff9900"/>
            </a:solidFill>
            <a:ln w="0">
              <a:noFill/>
            </a:ln>
          </c:spPr>
          <c:invertIfNegative val="0"/>
          <c:dPt>
            <c:idx val="0"/>
            <c:invertIfNegative val="0"/>
            <c:spPr>
              <a:solidFill>
                <a:srgbClr val="376092"/>
              </a:solidFill>
              <a:ln w="0">
                <a:noFill/>
              </a:ln>
            </c:spPr>
          </c:dPt>
          <c:dPt>
            <c:idx val="1"/>
            <c:invertIfNegative val="0"/>
            <c:spPr>
              <a:solidFill>
                <a:srgbClr val="95b3d7"/>
              </a:solidFill>
              <a:ln w="0">
                <a:noFill/>
              </a:ln>
            </c:spPr>
          </c:dPt>
          <c:dPt>
            <c:idx val="2"/>
            <c:invertIfNegative val="0"/>
            <c:spPr>
              <a:solidFill>
                <a:srgbClr val="376092"/>
              </a:solidFill>
              <a:ln w="0">
                <a:noFill/>
              </a:ln>
            </c:spPr>
          </c:dPt>
          <c:dPt>
            <c:idx val="3"/>
            <c:invertIfNegative val="0"/>
            <c:spPr>
              <a:solidFill>
                <a:srgbClr val="95b3d7"/>
              </a:solidFill>
              <a:ln w="0">
                <a:noFill/>
              </a:ln>
            </c:spPr>
          </c:dPt>
          <c:dLbls>
            <c:dLbl>
              <c:idx val="0"/>
              <c:layout>
                <c:manualLayout>
                  <c:x val="0"/>
                  <c:y val="-0.00101812584676805"/>
                </c:manualLayout>
              </c:layout>
              <c:numFmt formatCode="General" sourceLinked="0"/>
              <c:txPr>
                <a:bodyPr wrap="square"/>
                <a:lstStyle/>
                <a:p>
                  <a:pPr>
                    <a:defRPr b="0" sz="900" spc="-1" strike="noStrike">
                      <a:solidFill>
                        <a:srgbClr val="404040"/>
                      </a:solidFill>
                      <a:latin typeface="Helvetica Neue"/>
                    </a:defRPr>
                  </a:pPr>
                </a:p>
              </c:txPr>
              <c:dLblPos val="outEnd"/>
              <c:showLegendKey val="0"/>
              <c:showVal val="1"/>
              <c:showCatName val="0"/>
              <c:showSerName val="0"/>
              <c:showPercent val="0"/>
              <c:separator>; </c:separator>
            </c:dLbl>
            <c:dLbl>
              <c:idx val="1"/>
              <c:layout>
                <c:manualLayout>
                  <c:x val="-5.0667302315563E-017"/>
                  <c:y val="0.0185113790321463"/>
                </c:manualLayout>
              </c:layout>
              <c:numFmt formatCode="General" sourceLinked="0"/>
              <c:txPr>
                <a:bodyPr wrap="square"/>
                <a:lstStyle/>
                <a:p>
                  <a:pPr>
                    <a:defRPr b="0" sz="900" spc="-1" strike="noStrike">
                      <a:solidFill>
                        <a:srgbClr val="404040"/>
                      </a:solidFill>
                      <a:latin typeface="Helvetica Neue"/>
                    </a:defRPr>
                  </a:pPr>
                </a:p>
              </c:txPr>
              <c:dLblPos val="outEnd"/>
              <c:showLegendKey val="0"/>
              <c:showVal val="1"/>
              <c:showCatName val="0"/>
              <c:showSerName val="0"/>
              <c:showPercent val="0"/>
              <c:separator>; </c:separator>
            </c:dLbl>
            <c:dLbl>
              <c:idx val="2"/>
              <c:layout>
                <c:manualLayout>
                  <c:x val="0"/>
                  <c:y val="-0.0092556895160732"/>
                </c:manualLayout>
              </c:layout>
              <c:numFmt formatCode="General" sourceLinked="0"/>
              <c:txPr>
                <a:bodyPr wrap="square"/>
                <a:lstStyle/>
                <a:p>
                  <a:pPr>
                    <a:defRPr b="0" sz="900" spc="-1" strike="noStrike">
                      <a:solidFill>
                        <a:srgbClr val="404040"/>
                      </a:solidFill>
                      <a:latin typeface="Helvetica Neue"/>
                    </a:defRPr>
                  </a:pPr>
                </a:p>
              </c:txPr>
              <c:dLblPos val="outEnd"/>
              <c:showLegendKey val="0"/>
              <c:showVal val="1"/>
              <c:showCatName val="0"/>
              <c:showSerName val="0"/>
              <c:showPercent val="0"/>
              <c:separator>; </c:separator>
            </c:dLbl>
            <c:dLbl>
              <c:idx val="3"/>
              <c:numFmt formatCode="General" sourceLinked="0"/>
              <c:txPr>
                <a:bodyPr wrap="square"/>
                <a:lstStyle/>
                <a:p>
                  <a:pPr>
                    <a:defRPr b="0" sz="900" spc="-1" strike="noStrike">
                      <a:solidFill>
                        <a:srgbClr val="404040"/>
                      </a:solidFill>
                      <a:latin typeface="Helvetica Neue"/>
                    </a:defRPr>
                  </a:pPr>
                </a:p>
              </c:txPr>
              <c:dLblPos val="outEnd"/>
              <c:showLegendKey val="0"/>
              <c:showVal val="1"/>
              <c:showCatName val="0"/>
              <c:showSerName val="0"/>
              <c:showPercent val="0"/>
              <c:separator>; </c:separator>
            </c:dLbl>
            <c:txPr>
              <a:bodyPr wrap="square"/>
              <a:lstStyle/>
              <a:p>
                <a:pPr>
                  <a:defRPr b="0" sz="900" spc="-1" strike="noStrike">
                    <a:solidFill>
                      <a:srgbClr val="404040"/>
                    </a:solidFill>
                    <a:latin typeface="Helvetica Neue"/>
                    <a:ea typeface="Helvetica Neue"/>
                  </a:defRPr>
                </a:pPr>
              </a:p>
            </c:txPr>
            <c:dLblPos val="outEnd"/>
            <c:showLegendKey val="0"/>
            <c:showVal val="0"/>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4"/>
                <c:pt idx="0">
                  <c:v>Volume total</c:v>
                </c:pt>
                <c:pt idx="1">
                  <c:v>Volume desperdiçado</c:v>
                </c:pt>
                <c:pt idx="2">
                  <c:v>R10 TOTAL</c:v>
                </c:pt>
                <c:pt idx="3">
                  <c:v>R10 AUSÊNCIA</c:v>
                </c:pt>
              </c:strCache>
            </c:strRef>
          </c:cat>
          <c:val>
            <c:numRef>
              <c:f>0</c:f>
              <c:numCache>
                <c:formatCode>General</c:formatCode>
                <c:ptCount val="4"/>
                <c:pt idx="0">
                  <c:v>6280</c:v>
                </c:pt>
                <c:pt idx="1">
                  <c:v>896</c:v>
                </c:pt>
                <c:pt idx="2">
                  <c:v>3016</c:v>
                </c:pt>
                <c:pt idx="3">
                  <c:v>404</c:v>
                </c:pt>
              </c:numCache>
            </c:numRef>
          </c:val>
        </c:ser>
        <c:gapWidth val="219"/>
        <c:overlap val="0"/>
        <c:axId val="24811729"/>
        <c:axId val="23991977"/>
      </c:barChart>
      <c:catAx>
        <c:axId val="24811729"/>
        <c:scaling>
          <c:orientation val="minMax"/>
        </c:scaling>
        <c:delete val="1"/>
        <c:axPos val="b"/>
        <c:numFmt formatCode="[$-416]dd/mm/yyyy" sourceLinked="1"/>
        <c:majorTickMark val="none"/>
        <c:minorTickMark val="none"/>
        <c:tickLblPos val="nextTo"/>
        <c:spPr>
          <a:ln w="9360">
            <a:solidFill>
              <a:srgbClr val="878787"/>
            </a:solidFill>
            <a:round/>
          </a:ln>
        </c:spPr>
        <c:txPr>
          <a:bodyPr/>
          <a:lstStyle/>
          <a:p>
            <a:pPr>
              <a:defRPr b="0" sz="1000" spc="-1" strike="noStrike">
                <a:solidFill>
                  <a:srgbClr val="000000"/>
                </a:solidFill>
                <a:latin typeface="Helvetica Neue"/>
                <a:ea typeface="Helvetica Neue"/>
              </a:defRPr>
            </a:pPr>
          </a:p>
        </c:txPr>
        <c:crossAx val="23991977"/>
        <c:auto val="1"/>
        <c:lblAlgn val="ctr"/>
        <c:lblOffset val="100"/>
        <c:noMultiLvlLbl val="0"/>
      </c:catAx>
      <c:valAx>
        <c:axId val="23991977"/>
        <c:scaling>
          <c:orientation val="minMax"/>
          <c:min val="200"/>
        </c:scaling>
        <c:delete val="0"/>
        <c:axPos val="l"/>
        <c:majorGridlines>
          <c:spPr>
            <a:ln w="9360">
              <a:solidFill>
                <a:srgbClr val="d9d9d9"/>
              </a:solidFill>
              <a:round/>
            </a:ln>
          </c:spPr>
        </c:majorGridlines>
        <c:title>
          <c:tx>
            <c:rich>
              <a:bodyPr rot="-5400000"/>
              <a:lstStyle/>
              <a:p>
                <a:pPr>
                  <a:defRPr b="0" lang="pt-BR" sz="1000" spc="-1" strike="noStrike">
                    <a:solidFill>
                      <a:srgbClr val="595959"/>
                    </a:solidFill>
                    <a:latin typeface="Helvetica Neue"/>
                    <a:ea typeface="Helvetica Neue"/>
                  </a:defRPr>
                </a:pPr>
                <a:r>
                  <a:rPr b="0" lang="pt-BR" sz="1000" spc="-1" strike="noStrike">
                    <a:solidFill>
                      <a:srgbClr val="595959"/>
                    </a:solidFill>
                    <a:latin typeface="Helvetica Neue"/>
                    <a:ea typeface="Helvetica Neue"/>
                  </a:rPr>
                  <a:t>Volume de água utilizado</a:t>
                </a:r>
              </a:p>
            </c:rich>
          </c:tx>
          <c:overlay val="0"/>
          <c:spPr>
            <a:noFill/>
            <a:ln w="0">
              <a:noFill/>
            </a:ln>
          </c:spPr>
        </c:title>
        <c:numFmt formatCode="General" sourceLinked="0"/>
        <c:majorTickMark val="none"/>
        <c:minorTickMark val="none"/>
        <c:tickLblPos val="nextTo"/>
        <c:spPr>
          <a:ln w="9360">
            <a:noFill/>
          </a:ln>
        </c:spPr>
        <c:txPr>
          <a:bodyPr/>
          <a:lstStyle/>
          <a:p>
            <a:pPr>
              <a:defRPr b="0" sz="900" spc="-1" strike="noStrike">
                <a:solidFill>
                  <a:srgbClr val="595959"/>
                </a:solidFill>
                <a:latin typeface="Helvetica Neue"/>
                <a:ea typeface="Helvetica Neue"/>
              </a:defRPr>
            </a:pPr>
          </a:p>
        </c:txPr>
        <c:crossAx val="24811729"/>
        <c:crosses val="autoZero"/>
        <c:crossBetween val="between"/>
      </c:valAx>
      <c:spPr>
        <a:noFill/>
        <a:ln w="0">
          <a:noFill/>
        </a:ln>
      </c:spPr>
    </c:plotArea>
    <c:legend>
      <c:legendPos val="r"/>
      <c:layout>
        <c:manualLayout>
          <c:xMode val="edge"/>
          <c:yMode val="edge"/>
          <c:x val="0.1583125"/>
          <c:y val="0.829888888888889"/>
          <c:w val="0.689668104256516"/>
          <c:h val="0.0808978775419491"/>
        </c:manualLayout>
      </c:layout>
      <c:overlay val="0"/>
      <c:spPr>
        <a:noFill/>
        <a:ln w="0">
          <a:noFill/>
        </a:ln>
      </c:spPr>
      <c:txPr>
        <a:bodyPr/>
        <a:lstStyle/>
        <a:p>
          <a:pPr>
            <a:defRPr b="0" sz="900" spc="-1" strike="noStrike">
              <a:solidFill>
                <a:srgbClr val="595959"/>
              </a:solidFill>
              <a:latin typeface="Helvetica Neue"/>
              <a:ea typeface="Helvetica Neue"/>
            </a:defRPr>
          </a:pPr>
        </a:p>
      </c:txPr>
    </c:legend>
    <c:plotVisOnly val="1"/>
    <c:dispBlanksAs val="gap"/>
  </c:chart>
  <c:spPr>
    <a:solidFill>
      <a:srgbClr val="ffffff"/>
    </a:solidFill>
    <a:ln w="9360">
      <a:solidFill>
        <a:srgbClr val="d9d9d9"/>
      </a:solidFill>
      <a:round/>
    </a:ln>
  </c:spPr>
  <c:userShapes r:id="rId1"/>
</c:chartSpace>
</file>

<file path=word/drawings/drawing2.xml><?xml version="1.0" encoding="utf-8"?>
<c:userShapes xmlns:cdr="http://schemas.openxmlformats.org/drawingml/2006/chartDrawing" xmlns:a="http://schemas.openxmlformats.org/drawingml/2006/main" xmlns:c="http://schemas.openxmlformats.org/drawingml/2006/chart" xmlns:r="http://schemas.openxmlformats.org/officeDocument/2006/relationships">
  <cdr:relSizeAnchor>
    <cdr:from>
      <cdr:x>0.310928319623972</cdr:x>
      <cdr:y>0.0207267479994753</cdr:y>
    </cdr:from>
    <cdr:to>
      <cdr:x>0.372737955346651</cdr:x>
      <cdr:y>0.111242293060475</cdr:y>
    </cdr:to>
    <cdr:sp>
      <cdr:nvSpPr>
        <cdr:cNvPr id="0" name="Caixa de Texto 1"/>
        <cdr:cNvSpPr/>
      </cdr:nvSpPr>
      <cdr:spPr>
        <a:xfrm>
          <a:off x="0" y="0"/>
          <a:ext cx="284040" cy="248400"/>
        </a:xfrm>
        <a:prstGeom prst="rect">
          <a:avLst/>
        </a:prstGeom>
        <a:noFill/>
        <a:ln w="12600">
          <a:noFill/>
        </a:ln>
      </cdr:spPr>
      <cdr:style>
        <a:lnRef idx="0"/>
        <a:fillRef idx="0"/>
        <a:effectRef idx="0"/>
        <a:fontRef idx="minor"/>
      </cdr:style>
      <cdr:txBody>
        <a:bodyPr lIns="45720" rIns="45720" tIns="45000" bIns="45000" anchor="t">
          <a:spAutoFit/>
        </a:bodyPr>
        <a:p>
          <a:pPr>
            <a:lnSpc>
              <a:spcPct val="100000"/>
            </a:lnSpc>
            <a:tabLst>
              <a:tab algn="l" pos="0"/>
            </a:tabLst>
          </a:pPr>
          <a:r>
            <a:rPr b="0" lang="pt-BR" sz="1100" spc="-1" strike="noStrike">
              <a:solidFill>
                <a:srgbClr val="000000"/>
              </a:solidFill>
              <a:latin typeface="Arial"/>
              <a:ea typeface="Cambria"/>
            </a:rPr>
            <a:t>R5</a:t>
          </a:r>
          <a:endParaRPr b="0" sz="1100" spc="-1" strike="noStrike">
            <a:latin typeface="Times New Roman"/>
          </a:endParaRPr>
        </a:p>
      </cdr:txBody>
    </cdr:sp>
  </cdr:relSizeAnchor>
  <cdr:relSizeAnchor>
    <cdr:from>
      <cdr:x>0.715863689776733</cdr:x>
      <cdr:y>0.0217762035943854</cdr:y>
    </cdr:from>
    <cdr:to>
      <cdr:x>0.820446533490012</cdr:x>
      <cdr:y>0.112291748655385</cdr:y>
    </cdr:to>
    <cdr:sp>
      <cdr:nvSpPr>
        <cdr:cNvPr id="1" name="Caixa de Texto 1"/>
        <cdr:cNvSpPr/>
      </cdr:nvSpPr>
      <cdr:spPr>
        <a:xfrm>
          <a:off x="0" y="0"/>
          <a:ext cx="480600" cy="248400"/>
        </a:xfrm>
        <a:prstGeom prst="rect">
          <a:avLst/>
        </a:prstGeom>
        <a:noFill/>
        <a:ln w="12600">
          <a:noFill/>
        </a:ln>
      </cdr:spPr>
      <cdr:style>
        <a:lnRef idx="0"/>
        <a:fillRef idx="0"/>
        <a:effectRef idx="0"/>
        <a:fontRef idx="minor"/>
      </cdr:style>
      <cdr:txBody>
        <a:bodyPr lIns="45720" rIns="45720" tIns="45000" bIns="45000" anchor="t">
          <a:spAutoFit/>
        </a:bodyPr>
        <a:p>
          <a:pPr>
            <a:lnSpc>
              <a:spcPct val="100000"/>
            </a:lnSpc>
            <a:tabLst>
              <a:tab algn="l" pos="0"/>
            </a:tabLst>
          </a:pPr>
          <a:r>
            <a:rPr b="0" lang="pt-BR" sz="1100" spc="-1" strike="noStrike">
              <a:solidFill>
                <a:srgbClr val="000000"/>
              </a:solidFill>
              <a:latin typeface="Arial"/>
              <a:ea typeface="Cambria"/>
            </a:rPr>
            <a:t>R10</a:t>
          </a:r>
          <a:endParaRPr b="0" sz="1100" spc="-1" strike="noStrike">
            <a:latin typeface="Times New Roman"/>
          </a:endParaRPr>
        </a:p>
      </cdr:txBody>
    </cdr:sp>
  </cdr:relSizeAnchor>
</c:userShape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cfd93eb-4e75-42c2-ae48-6eb2b401ab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64CFAF32216CA4ABF876CE110099943" ma:contentTypeVersion="16" ma:contentTypeDescription="Crie um novo documento." ma:contentTypeScope="" ma:versionID="01b909dc9334c26016fafde8020add80">
  <xsd:schema xmlns:xsd="http://www.w3.org/2001/XMLSchema" xmlns:xs="http://www.w3.org/2001/XMLSchema" xmlns:p="http://schemas.microsoft.com/office/2006/metadata/properties" xmlns:ns3="7cfd93eb-4e75-42c2-ae48-6eb2b401abc0" xmlns:ns4="5a21f5a9-680e-4f44-a087-0efed48cc028" targetNamespace="http://schemas.microsoft.com/office/2006/metadata/properties" ma:root="true" ma:fieldsID="e968c489a8c25c8eb3f4fc7ba3b372ad" ns3:_="" ns4:_="">
    <xsd:import namespace="7cfd93eb-4e75-42c2-ae48-6eb2b401abc0"/>
    <xsd:import namespace="5a21f5a9-680e-4f44-a087-0efed48cc02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fd93eb-4e75-42c2-ae48-6eb2b401ab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21f5a9-680e-4f44-a087-0efed48cc028" elementFormDefault="qualified">
    <xsd:import namespace="http://schemas.microsoft.com/office/2006/documentManagement/types"/>
    <xsd:import namespace="http://schemas.microsoft.com/office/infopath/2007/PartnerControls"/>
    <xsd:element name="SharedWithUsers" ma:index="14"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hes de Compartilhado Com" ma:internalName="SharedWithDetails" ma:readOnly="true">
      <xsd:simpleType>
        <xsd:restriction base="dms:Note">
          <xsd:maxLength value="255"/>
        </xsd:restriction>
      </xsd:simpleType>
    </xsd:element>
    <xsd:element name="SharingHintHash" ma:index="16" nillable="true" ma:displayName="Hash de Dica de Compartilhamento"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07511-2C96-4C84-B789-CE1D87FB81B3}">
  <ds:schemaRefs>
    <ds:schemaRef ds:uri="http://schemas.microsoft.com/office/2006/metadata/properties"/>
    <ds:schemaRef ds:uri="http://schemas.microsoft.com/office/infopath/2007/PartnerControls"/>
    <ds:schemaRef ds:uri="7cfd93eb-4e75-42c2-ae48-6eb2b401abc0"/>
  </ds:schemaRefs>
</ds:datastoreItem>
</file>

<file path=customXml/itemProps2.xml><?xml version="1.0" encoding="utf-8"?>
<ds:datastoreItem xmlns:ds="http://schemas.openxmlformats.org/officeDocument/2006/customXml" ds:itemID="{91194A46-873E-4DD4-BA0B-3A219205886D}">
  <ds:schemaRefs>
    <ds:schemaRef ds:uri="http://schemas.microsoft.com/sharepoint/v3/contenttype/forms"/>
  </ds:schemaRefs>
</ds:datastoreItem>
</file>

<file path=customXml/itemProps3.xml><?xml version="1.0" encoding="utf-8"?>
<ds:datastoreItem xmlns:ds="http://schemas.openxmlformats.org/officeDocument/2006/customXml" ds:itemID="{9D2241CF-4051-444E-A946-071898082E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fd93eb-4e75-42c2-ae48-6eb2b401abc0"/>
    <ds:schemaRef ds:uri="5a21f5a9-680e-4f44-a087-0efed48cc0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Application>LibreOffice/7.3.2.2$Windows_X86_64 LibreOffice_project/49f2b1bff42cfccbd8f788c8dc32c1c309559be0</Application>
  <AppVersion>15.0000</AppVersion>
  <Pages>3</Pages>
  <Words>1300</Words>
  <Characters>7050</Characters>
  <CharactersWithSpaces>8336</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2023-10-18T22:51:00Z</dcterms:created>
  <dc:creator>VIVIANE DALLA ROSA</dc:creator>
  <dc:description/>
  <dc:language>pt-BR</dc:language>
  <cp:lastModifiedBy/>
  <dcterms:modified xsi:type="dcterms:W3CDTF">2023-10-20T13:41:29Z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0x010100A64CFAF32216CA4ABF876CE110099943</vt:lpwstr>
  </property>
</Properties>
</file>