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spacing w:lineRule="auto" w:line="276"/>
        <w:ind w:right="280" w:hanging="0"/>
        <w:jc w:val="center"/>
        <w:rPr>
          <w:rFonts w:ascii="Arial" w:hAnsi="Arial" w:eastAsia="Arial" w:cs="Arial"/>
          <w:color w:val="000000"/>
          <w:sz w:val="22"/>
          <w:szCs w:val="22"/>
          <w:u w:val="none" w:color="000000"/>
          <w:lang w:val="pt-BR"/>
        </w:rPr>
      </w:pPr>
      <w:r>
        <w:drawing>
          <wp:anchor behindDoc="0" distT="0" distB="152400" distL="152400" distR="152400" simplePos="0" locked="0" layoutInCell="0" allowOverlap="1" relativeHeight="2">
            <wp:simplePos x="0" y="0"/>
            <wp:positionH relativeFrom="page">
              <wp:align>right</wp:align>
            </wp:positionH>
            <wp:positionV relativeFrom="page">
              <wp:align>top</wp:align>
            </wp:positionV>
            <wp:extent cx="7556500" cy="1115060"/>
            <wp:effectExtent l="0" t="0" r="0" b="0"/>
            <wp:wrapTopAndBottom/>
            <wp:docPr id="1" name="Imagem 1202926324"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02926324" descr="Cabeçalho SBSS-02.jpg"/>
                    <pic:cNvPicPr>
                      <a:picLocks noChangeAspect="1" noChangeArrowheads="1"/>
                    </pic:cNvPicPr>
                  </pic:nvPicPr>
                  <pic:blipFill>
                    <a:blip r:embed="rId2"/>
                    <a:stretch>
                      <a:fillRect/>
                    </a:stretch>
                  </pic:blipFill>
                  <pic:spPr bwMode="auto">
                    <a:xfrm>
                      <a:off x="0" y="0"/>
                      <a:ext cx="7556500" cy="1115060"/>
                    </a:xfrm>
                    <a:prstGeom prst="rect">
                      <a:avLst/>
                    </a:prstGeom>
                  </pic:spPr>
                </pic:pic>
              </a:graphicData>
            </a:graphic>
          </wp:anchor>
        </w:drawing>
      </w:r>
      <w:r>
        <w:rPr>
          <w:rFonts w:ascii="Arial" w:hAnsi="Arial"/>
          <w:b/>
          <w:bCs/>
          <w:color w:val="000000"/>
          <w:sz w:val="28"/>
          <w:szCs w:val="28"/>
          <w:u w:val="none" w:color="000000"/>
          <w:lang w:val="pt-BR"/>
        </w:rPr>
        <w:t>ÓLEO DE LINHAÇA NA DIETA DE VACAS LEITEIRAS A PASTO: IMPACTO NO DESEMPENHO EM CLIMAS QUENTES</w:t>
      </w:r>
    </w:p>
    <w:p>
      <w:pPr>
        <w:pStyle w:val="LOnormal"/>
        <w:ind w:right="284" w:hanging="0"/>
        <w:jc w:val="center"/>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ind w:right="284" w:hanging="0"/>
        <w:jc w:val="center"/>
        <w:rPr>
          <w:rFonts w:ascii="Arial" w:hAnsi="Arial"/>
          <w:color w:val="000000"/>
          <w:sz w:val="20"/>
          <w:szCs w:val="20"/>
          <w:u w:val="none" w:color="000000"/>
          <w:vertAlign w:val="superscript"/>
          <w:lang w:val="pt-BR"/>
        </w:rPr>
      </w:pPr>
      <w:r>
        <w:rPr>
          <w:rFonts w:ascii="Arial" w:hAnsi="Arial"/>
          <w:color w:val="000000"/>
          <w:sz w:val="20"/>
          <w:szCs w:val="20"/>
          <w:u w:val="none" w:color="000000"/>
          <w:lang w:val="pt-BR"/>
        </w:rPr>
        <w:t>Gadriéli Cristina Gheno</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Roberto Kappes</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Marciél França</w:t>
      </w: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 Ione Maria Pereira Haygert Velho</w:t>
      </w:r>
      <w:r>
        <w:rPr>
          <w:rFonts w:ascii="Arial" w:hAnsi="Arial"/>
          <w:color w:val="000000"/>
          <w:sz w:val="20"/>
          <w:szCs w:val="20"/>
          <w:u w:val="none" w:color="000000"/>
          <w:vertAlign w:val="superscript"/>
          <w:lang w:val="pt-BR"/>
        </w:rPr>
        <w:t>2</w:t>
      </w:r>
      <w:r>
        <w:rPr>
          <w:rFonts w:ascii="Arial" w:hAnsi="Arial"/>
          <w:color w:val="000000"/>
          <w:sz w:val="20"/>
          <w:szCs w:val="20"/>
          <w:u w:val="none" w:color="000000"/>
          <w:lang w:val="pt-BR"/>
        </w:rPr>
        <w:t>, João Pedro Velho</w:t>
      </w:r>
      <w:r>
        <w:rPr>
          <w:rFonts w:ascii="Arial" w:hAnsi="Arial"/>
          <w:color w:val="000000"/>
          <w:sz w:val="20"/>
          <w:szCs w:val="20"/>
          <w:u w:val="none" w:color="000000"/>
          <w:vertAlign w:val="superscript"/>
          <w:lang w:val="pt-BR"/>
        </w:rPr>
        <w:t>2</w:t>
      </w:r>
      <w:r>
        <w:rPr>
          <w:rFonts w:ascii="Arial" w:hAnsi="Arial"/>
          <w:color w:val="000000"/>
          <w:sz w:val="20"/>
          <w:szCs w:val="20"/>
          <w:u w:val="none" w:color="000000"/>
          <w:lang w:val="pt-BR"/>
        </w:rPr>
        <w:t xml:space="preserve">, </w:t>
      </w:r>
      <w:r>
        <w:rPr>
          <w:rFonts w:ascii="Arial" w:hAnsi="Arial"/>
          <w:color w:val="000000"/>
          <w:sz w:val="20"/>
          <w:szCs w:val="20"/>
          <w:u w:val="single" w:color="000000"/>
          <w:lang w:val="pt-BR"/>
        </w:rPr>
        <w:t>André Thaler Neto</w:t>
      </w:r>
      <w:r>
        <w:rPr>
          <w:rFonts w:ascii="Arial" w:hAnsi="Arial"/>
          <w:color w:val="000000"/>
          <w:sz w:val="20"/>
          <w:szCs w:val="20"/>
          <w:u w:val="none" w:color="000000"/>
          <w:vertAlign w:val="superscript"/>
          <w:lang w:val="pt-BR"/>
        </w:rPr>
        <w:t>1</w:t>
      </w:r>
    </w:p>
    <w:p>
      <w:pPr>
        <w:pStyle w:val="LOnormal"/>
        <w:ind w:right="284" w:hanging="0"/>
        <w:jc w:val="center"/>
        <w:rPr>
          <w:rFonts w:ascii="Arial" w:hAnsi="Arial" w:eastAsia="Arial" w:cs="Arial"/>
          <w:color w:val="000000"/>
          <w:sz w:val="22"/>
          <w:szCs w:val="22"/>
          <w:u w:val="none" w:color="000000"/>
          <w:lang w:val="pt-PT"/>
        </w:rPr>
      </w:pPr>
      <w:r>
        <w:rPr>
          <w:rFonts w:eastAsia="Arial" w:cs="Arial" w:ascii="Arial" w:hAnsi="Arial"/>
          <w:color w:val="000000"/>
          <w:sz w:val="22"/>
          <w:szCs w:val="22"/>
          <w:u w:val="none" w:color="000000"/>
          <w:lang w:val="pt-PT"/>
        </w:rPr>
      </w:r>
    </w:p>
    <w:p>
      <w:pPr>
        <w:pStyle w:val="LOnormal"/>
        <w:ind w:right="284" w:hanging="0"/>
        <w:jc w:val="center"/>
        <w:rPr>
          <w:rFonts w:ascii="Arial" w:hAnsi="Arial"/>
          <w:color w:val="000000"/>
          <w:sz w:val="20"/>
          <w:szCs w:val="20"/>
          <w:u w:val="none" w:color="000000"/>
          <w:lang w:val="pt-BR"/>
        </w:rPr>
      </w:pPr>
      <w:r>
        <w:rPr>
          <w:rFonts w:ascii="Arial" w:hAnsi="Arial"/>
          <w:color w:val="000000"/>
          <w:sz w:val="20"/>
          <w:szCs w:val="20"/>
          <w:u w:val="none" w:color="000000"/>
          <w:vertAlign w:val="superscript"/>
          <w:lang w:val="pt-BR"/>
        </w:rPr>
        <w:t>1</w:t>
      </w:r>
      <w:r>
        <w:rPr>
          <w:rFonts w:ascii="Arial" w:hAnsi="Arial"/>
          <w:color w:val="000000"/>
          <w:sz w:val="20"/>
          <w:szCs w:val="20"/>
          <w:u w:val="none" w:color="000000"/>
          <w:lang w:val="pt-BR"/>
        </w:rPr>
        <w:t>Programa de Pós-Graduação em Ciência Animal - CAV/UDESC, Lages – SC.</w:t>
      </w:r>
    </w:p>
    <w:p>
      <w:pPr>
        <w:pStyle w:val="LOnormal"/>
        <w:ind w:right="284" w:hanging="0"/>
        <w:jc w:val="center"/>
        <w:rPr>
          <w:rFonts w:ascii="Arial" w:hAnsi="Arial"/>
          <w:color w:val="000000"/>
          <w:sz w:val="20"/>
          <w:szCs w:val="20"/>
          <w:u w:val="none" w:color="000000"/>
          <w:lang w:val="pt-BR"/>
        </w:rPr>
      </w:pPr>
      <w:r>
        <w:rPr>
          <w:rFonts w:ascii="Arial" w:hAnsi="Arial"/>
          <w:color w:val="000000"/>
          <w:sz w:val="20"/>
          <w:szCs w:val="20"/>
          <w:u w:val="none" w:color="000000"/>
          <w:vertAlign w:val="superscript"/>
          <w:lang w:val="pt-BR"/>
        </w:rPr>
        <w:t>2</w:t>
      </w:r>
      <w:r>
        <w:rPr>
          <w:rFonts w:ascii="Arial" w:hAnsi="Arial"/>
          <w:color w:val="000000"/>
          <w:sz w:val="20"/>
          <w:szCs w:val="20"/>
          <w:u w:val="none" w:color="000000"/>
          <w:lang w:val="pt-BR"/>
        </w:rPr>
        <w:t xml:space="preserve"> Universidade Federal de Santa Maria, Palmeira das Missões, Palmeira das Missões – RS</w:t>
      </w:r>
    </w:p>
    <w:p>
      <w:pPr>
        <w:pStyle w:val="LOnormal"/>
        <w:ind w:right="284" w:hanging="0"/>
        <w:jc w:val="center"/>
        <w:rPr>
          <w:rFonts w:ascii="Arial" w:hAnsi="Arial" w:eastAsia="Arial" w:cs="Arial"/>
          <w:color w:val="000000"/>
          <w:sz w:val="20"/>
          <w:szCs w:val="20"/>
          <w:u w:val="none" w:color="000000"/>
          <w:lang w:val="pt-BR"/>
        </w:rPr>
      </w:pPr>
      <w:r>
        <w:rPr>
          <w:rFonts w:ascii="Arial" w:hAnsi="Arial"/>
          <w:color w:val="000000"/>
          <w:sz w:val="20"/>
          <w:szCs w:val="20"/>
          <w:u w:val="none" w:color="000000"/>
          <w:lang w:val="pt-BR"/>
        </w:rPr>
        <w:t xml:space="preserve"> </w:t>
      </w:r>
      <w:r>
        <w:rPr>
          <w:rFonts w:ascii="Arial" w:hAnsi="Arial"/>
          <w:color w:val="000000"/>
          <w:sz w:val="20"/>
          <w:szCs w:val="20"/>
          <w:u w:val="none" w:color="000000"/>
          <w:lang w:val="pt-BR"/>
        </w:rPr>
        <w:t xml:space="preserve">E-mail: </w:t>
      </w:r>
      <w:hyperlink r:id="rId3">
        <w:r>
          <w:rPr>
            <w:rStyle w:val="LinkdaInternet"/>
            <w:rFonts w:ascii="Arial" w:hAnsi="Arial"/>
            <w:sz w:val="20"/>
            <w:szCs w:val="20"/>
            <w:lang w:val="pt-BR"/>
          </w:rPr>
          <w:t>andre.thaler@udesc.br</w:t>
        </w:r>
      </w:hyperlink>
      <w:r>
        <w:rPr>
          <w:rFonts w:cs="Helvetica Neue" w:ascii="Helvetica Neue" w:hAnsi="Helvetica Neue" w:asciiTheme="majorBidi" w:cstheme="majorBidi" w:hAnsiTheme="majorBidi"/>
          <w:lang w:val="pt-BR"/>
        </w:rPr>
        <w:t xml:space="preserve">  </w:t>
      </w:r>
    </w:p>
    <w:p>
      <w:pPr>
        <w:pStyle w:val="LOnormal"/>
        <w:ind w:right="284" w:hanging="0"/>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rFonts w:ascii="Arial" w:hAnsi="Arial"/>
          <w:color w:val="000000"/>
          <w:sz w:val="22"/>
          <w:szCs w:val="22"/>
          <w:u w:val="none" w:color="000000"/>
          <w:lang w:val="pt-BR"/>
        </w:rPr>
      </w:pPr>
      <w:r>
        <w:rPr>
          <w:rFonts w:ascii="Arial" w:hAnsi="Arial"/>
          <w:b/>
          <w:bCs/>
          <w:color w:val="000000"/>
          <w:sz w:val="22"/>
          <w:szCs w:val="22"/>
          <w:u w:val="none" w:color="000000"/>
          <w:lang w:val="pt-BR"/>
        </w:rPr>
        <w:t>Contribuição para a sociedade</w:t>
      </w:r>
      <w:r>
        <w:rPr>
          <w:rFonts w:ascii="Arial" w:hAnsi="Arial"/>
          <w:color w:val="000000"/>
          <w:sz w:val="22"/>
          <w:szCs w:val="22"/>
          <w:u w:val="none" w:color="000000"/>
          <w:lang w:val="pt-BR"/>
        </w:rPr>
        <w:t>: O estresse por calor impacta negativamente o desempenho produtivo de vacas leiteiras. O objetivo foi avaliar o efeito da suplementação com óleo de linhaça no desempenho produtivo de vacas em pastejo na primavera e no verão. As vacas foram separadas em dois tratamentos: controle (TC) e suplementação com óleo de linhaça (TL). O grupo TL foi suplementado com 400 g/dia com óleo de linhaça. A produção de leite aumentou 1,5 L/dia no verão no grupo TL. Os teores de gordura, proteína e caseína no leite foram maiores no grupo TC. A estabilidade do leite aumentou 2,2% em vacas suplementadas com óleo de linhaça. Os resultados do presente estudo mostram que o óleo de linhaça pode ser suplementado para reduzir os efeitos negativos do estresse térmico em vacas em pastejo, proporcionando um aumento na produção e estabilidade do leite.</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LOnormal"/>
        <w:jc w:val="both"/>
        <w:rPr>
          <w:lang w:val="pt-BR"/>
        </w:rPr>
      </w:pPr>
      <w:r>
        <w:rPr>
          <w:rFonts w:ascii="Arial" w:hAnsi="Arial"/>
          <w:b/>
          <w:bCs/>
          <w:color w:val="000000"/>
          <w:sz w:val="22"/>
          <w:szCs w:val="22"/>
          <w:u w:val="none" w:color="000000"/>
          <w:lang w:val="pt-BR"/>
        </w:rPr>
        <w:t>Palavras-chave</w:t>
      </w:r>
      <w:r>
        <w:rPr>
          <w:rFonts w:ascii="Arial" w:hAnsi="Arial"/>
          <w:color w:val="000000"/>
          <w:sz w:val="22"/>
          <w:szCs w:val="22"/>
          <w:u w:val="none" w:color="000000"/>
          <w:lang w:val="pt-BR"/>
        </w:rPr>
        <w:t>: Estresse por calor, produção de leite, suplementação lipídica.</w:t>
      </w:r>
    </w:p>
    <w:p>
      <w:pPr>
        <w:pStyle w:val="LOnormal"/>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Corpodotexto"/>
        <w:ind w:right="6" w:hanging="0"/>
        <w:jc w:val="both"/>
        <w:rPr>
          <w:rFonts w:ascii="Arial" w:hAnsi="Arial" w:cs="Arial"/>
          <w:sz w:val="22"/>
          <w:szCs w:val="22"/>
          <w:lang w:val="pt-BR"/>
        </w:rPr>
      </w:pPr>
      <w:r>
        <w:rPr>
          <w:rFonts w:cs="Arial" w:ascii="Arial" w:hAnsi="Arial"/>
          <w:b/>
          <w:bCs/>
          <w:color w:val="000000"/>
          <w:sz w:val="22"/>
          <w:szCs w:val="22"/>
          <w:u w:val="none" w:color="000000"/>
          <w:lang w:val="pt-BR"/>
        </w:rPr>
        <w:t xml:space="preserve">Introdução: </w:t>
      </w:r>
      <w:r>
        <w:rPr>
          <w:rFonts w:cs="Arial" w:ascii="Arial" w:hAnsi="Arial"/>
          <w:color w:val="000000"/>
          <w:sz w:val="22"/>
          <w:szCs w:val="22"/>
          <w:u w:val="none" w:color="000000"/>
          <w:lang w:val="pt-BR"/>
        </w:rPr>
        <w:t>A</w:t>
      </w:r>
      <w:r>
        <w:rPr>
          <w:rFonts w:cs="Arial" w:ascii="Arial" w:hAnsi="Arial"/>
          <w:b/>
          <w:bCs/>
          <w:color w:val="000000"/>
          <w:sz w:val="22"/>
          <w:szCs w:val="22"/>
          <w:u w:val="none" w:color="000000"/>
          <w:lang w:val="pt-BR"/>
        </w:rPr>
        <w:t xml:space="preserve"> </w:t>
      </w:r>
      <w:r>
        <w:rPr>
          <w:rFonts w:cs="Arial" w:ascii="Arial" w:hAnsi="Arial"/>
          <w:color w:val="000000"/>
          <w:sz w:val="22"/>
          <w:szCs w:val="22"/>
          <w:u w:val="none" w:color="000000"/>
          <w:lang w:val="pt-BR"/>
        </w:rPr>
        <w:t>preocupação</w:t>
      </w:r>
      <w:r>
        <w:rPr>
          <w:rFonts w:cs="Arial" w:ascii="Arial" w:hAnsi="Arial"/>
          <w:b/>
          <w:bCs/>
          <w:color w:val="000000"/>
          <w:sz w:val="22"/>
          <w:szCs w:val="22"/>
          <w:u w:val="none" w:color="000000"/>
          <w:lang w:val="pt-BR"/>
        </w:rPr>
        <w:t xml:space="preserve"> </w:t>
      </w:r>
      <w:r>
        <w:rPr>
          <w:rFonts w:cs="Arial" w:ascii="Arial" w:hAnsi="Arial"/>
          <w:color w:val="000000"/>
          <w:sz w:val="22"/>
          <w:szCs w:val="22"/>
          <w:u w:val="none" w:color="000000"/>
          <w:lang w:val="pt-BR"/>
        </w:rPr>
        <w:t xml:space="preserve">com o estresse por calor em animais de produção é crescente não apenas nas regiões tropicais e subtropicais, mais também em regiões de zona temperada </w:t>
      </w:r>
      <w:r>
        <w:fldChar w:fldCharType="begin"/>
      </w:r>
      <w:r>
        <w:rPr>
          <w:sz w:val="22"/>
          <w:u w:val="none" w:color="000000"/>
          <w:szCs w:val="22"/>
          <w:rFonts w:cs="Arial" w:ascii="Arial" w:hAnsi="Arial"/>
          <w:color w:val="000000"/>
          <w:lang w:val="pt-BR"/>
        </w:rPr>
        <w:instrText xml:space="preserve">ADDIN CSL_CITATION {"citationItems":[{"id":"ITEM-1","itemData":{"DOI":"10.1017/S175173111000090X","ISSN":"17517311","abstract":"Environmentally induced periods of heat stress decrease productivity with devastating economic consequences to global animal agriculture. Heat stress can be defined as a physiological condition when the core body temperature of a given species exceeds its range specified for normal activity, which results from a total heat load (internal production and environment) exceeding the capacity for heat dissipation and this prompts physiological and behavioral responses to reduce the strain. The ability of ruminants to regulate body temperature is species- and breed-dependent. Dairy breeds are typically more sensitive to heat stress than meat breeds, and higher-producing animals are more susceptible to heat stress because they generate more metabolic heat. During heat stress, ruminants, like other homeothermic animals, increase avenues of heat loss and reduce heat production in an attempt to maintain euthermia. The immediate responses to heat load are increased respiration rates, decreased feed intake and increased water intake. Acclimatization is a process by which animals adapt to environmental conditions and engage behavioral, hormonal and metabolic changes that are characteristics of either acclimatory homeostasis or homeorhetic mechanisms used by the animals to survive in a new 'physiological state'. For example, alterations in the hormonal profile are mainly characterized by a decline and increase in anabolic and catabolic hormones, respectively. The response to heat load and the heat-induced change in homeorhetic modifiers alters post-absorptive energy, lipid and protein metabolism, impairs liver function, causes oxidative stress, jeopardizes the immune response and decreases reproductive performance. These physiological modifications alter nutrient partitioning and may prevent heat-stressed lactating cows from recruiting glucose-sparing mechanisms (despite the reduced nutrient intake). This might explain, in large part, why decreased feed intake only accounts for a minor portion of the reduced milk yield from environmentally induced hyperthermic cows. How these metabolic changes are initiated and regulated is not known. It also remains unclear how these changes differ between short-term v. long-term heat acclimation to impact animal productivity and well-being. A better understanding of the adaptations enlisted by ruminants during heat stress is necessary to enhance the likelihood of developing strategies to simultaneously improve heat tolerance and in…","author":[{"dropping-particle":"","family":"Bernabucci","given":"U.","non-dropping-particle":"","parse-names":false,"suffix":""},{"dropping-particle":"","family":"Lacetera","given":"N.","non-dropping-particle":"","parse-names":false,"suffix":""},{"dropping-particle":"","family":"Baumgard","given":"L. H.","non-dropping-particle":"","parse-names":false,"suffix":""},{"dropping-particle":"","family":"Rhoads","given":"R. P.","non-dropping-particle":"","parse-names":false,"suffix":""},{"dropping-particle":"","family":"Ronchi","given":"B.","non-dropping-particle":"","parse-names":false,"suffix":""},{"dropping-particle":"","family":"Nardone","given":"A.","non-dropping-particle":"","parse-names":false,"suffix":""}],"container-title":"Animal","id":"ITEM-1","issue":"7","issued":{"date-parts":[["2010"]]},"page":"1167-1183","publisher":"Elsevier","title":"Metabolic and hormonal acclimation to heat stress in domesticated ruminants","type":"article-journal","volume":"4"},"uris":["http://www.mendeley.com/documents/?uuid=8eae48bc-da10-40b2-a590-8358ef30b462"]}],"mendeley":{"formattedCitation":"(Bernabucci et al. 2010)","manualFormatting":"(Bernabucci et al. 2010)","plainTextFormattedCitation":"(Bernabucci et al. 2010)","previouslyFormattedCitation":"(Bernabucci et al. 2010)"},"properties":{"noteIndex":0},"schema":"https://github.com/citation-style-language/schema/raw/master/csl-citation.json"}</w:instrText>
      </w:r>
      <w:r>
        <w:rPr>
          <w:rFonts w:cs="Arial" w:ascii="Arial" w:hAnsi="Arial"/>
          <w:color w:val="000000"/>
          <w:sz w:val="22"/>
          <w:szCs w:val="22"/>
          <w:u w:val="none" w:color="000000"/>
          <w:lang w:val="pt-BR"/>
        </w:rPr>
      </w:r>
      <w:r>
        <w:rPr>
          <w:sz w:val="22"/>
          <w:u w:val="none" w:color="000000"/>
          <w:szCs w:val="22"/>
          <w:rFonts w:cs="Arial" w:ascii="Arial" w:hAnsi="Arial"/>
          <w:color w:val="000000"/>
          <w:lang w:val="pt-BR"/>
        </w:rPr>
        <w:fldChar w:fldCharType="separate"/>
      </w:r>
      <w:r>
        <w:rPr>
          <w:rFonts w:cs="Arial" w:ascii="Arial" w:hAnsi="Arial"/>
          <w:color w:val="000000"/>
          <w:sz w:val="22"/>
          <w:szCs w:val="22"/>
          <w:u w:val="none" w:color="000000"/>
          <w:lang w:val="pt-BR"/>
        </w:rPr>
      </w:r>
      <w:r>
        <w:rPr>
          <w:rFonts w:cs="Arial" w:ascii="Arial" w:hAnsi="Arial"/>
          <w:sz w:val="22"/>
          <w:szCs w:val="22"/>
          <w:lang w:val="pt-BR"/>
        </w:rPr>
        <w:t>(BERNABUCCI et al. 2010)</w:t>
      </w:r>
      <w:r>
        <w:rPr>
          <w:rFonts w:cs="Arial" w:ascii="Arial" w:hAnsi="Arial"/>
          <w:color w:val="000000"/>
          <w:sz w:val="22"/>
          <w:szCs w:val="22"/>
          <w:u w:val="none" w:color="000000"/>
          <w:lang w:val="pt-BR"/>
        </w:rPr>
      </w:r>
      <w:r>
        <w:rPr>
          <w:sz w:val="22"/>
          <w:u w:val="none" w:color="000000"/>
          <w:szCs w:val="22"/>
          <w:rFonts w:cs="Arial" w:ascii="Arial" w:hAnsi="Arial"/>
          <w:color w:val="000000"/>
          <w:lang w:val="pt-BR"/>
        </w:rPr>
        <w:fldChar w:fldCharType="end"/>
      </w:r>
      <w:r>
        <w:rPr>
          <w:rFonts w:cs="Arial" w:ascii="Arial" w:hAnsi="Arial"/>
          <w:sz w:val="22"/>
          <w:szCs w:val="22"/>
          <w:lang w:val="pt-BR"/>
        </w:rPr>
        <w:t xml:space="preserve">. Altas temperaturas combinadas com elevada umidade representam um grande desafio ao bem-estar animal </w:t>
      </w:r>
      <w:r>
        <w:fldChar w:fldCharType="begin"/>
      </w:r>
      <w:r>
        <w:rPr>
          <w:sz w:val="22"/>
          <w:szCs w:val="22"/>
          <w:rFonts w:cs="Arial" w:ascii="Arial" w:hAnsi="Arial"/>
          <w:lang w:val="pt-BR"/>
        </w:rPr>
        <w:instrText xml:space="preserve">ADDIN CSL_CITATION {"citationItems":[{"id":"ITEM-1","itemData":{"abstract":"Heat stress (HS) is a global problem which jeopardizes animal welfare, profitability, and global food security. Indirect effects of HS such as reduced feed intake contribute to, but do not fully explain, decreased productivity. Heat stressed animals initiate metabolic changes that do not reflect their plane of nutrition. This indicates that HS directly effects metabolism and productivity independent of reduced feed intake. In a variety of species, environmental hyperthermia compromises the intestinal barrier function resulting in increased permeability to luminal content including bacteria and bacterial components. Presumably, heat stress causes leaky gut in ruminants as well. The leakage of luminal content into the portal and ultimately the systemic circulation elicits an inflammatory response that may facilitate the detrimental effects of HS on animal agriculture. Identifying flexible management strategies (i.e. nutritional supplementation) to immediately decrease HS susceptibility without negatively influencing production traits would be of great value to global animal agriculture. Infertility and subfertility in production animals represent important economic, health and welfare issues. Non-successful breeding and embryonic mortality are major limitations to reproductive efficiency. Additionally, with increased requirements for efficient production of animal protein to feed a growing world economy, compromised fertility represents a global food security concern. This proceedings paper will focus chiefly on ruminant and swine reproduction for which the majority of knowledge has been acquired. The primary objective of this paper is to review an environmental stress (hyperthermia) and a physiological condition (bacterial infection) that both impair fecundity and fertility in domestic animal species. The secondary objective is to provide a brief summary of potential mitigation strategies to improve animal reproductive efficiency in the face of such stressors. Resumo O estresse térmico (HS) é um problema global que põe em risco o bem estar animal, rentabilidade e segurança alimentar global. Efeitos indiretos de HS como redução de ingestão alimentar contribuem para a queda em produtividade, sem, portanto, explicar por completo. Animais com estresse térmico iniciam mudanças metabólicas que não refletem seu plano de nutrição. Isso indica que HS afeta diretamente o metabolismo e produtividade independente da ingestão reduzida de alimentos. Em diversas espéci…","author":[{"dropping-particle":"","family":"Baumgard","given":"Lance H.","non-dropping-particle":"","parse-names":false,"suffix":""},{"dropping-particle":"","family":"Keating","given":"Aileen","non-dropping-particle":"","parse-names":false,"suffix":""},{"dropping-particle":"","family":"Ross","given":"Jason W","non-dropping-particle":"","parse-names":false,"suffix":""},{"dropping-particle":"","family":"Rhoads","given":"Robert P","non-dropping-particle":"","parse-names":false,"suffix":""}],"container-title":"Rev. Bras. Reprod. Anim","id":"ITEM-1","issue":"1","issued":{"date-parts":[["2015"]]},"page":"173-183","title":"Effects of heat stress on the immune system, metabolism and nutrient partitioning: implications on reproductive success","type":"article-journal","volume":"39"},"uris":["http://www.mendeley.com/documents/?uuid=35ca82d9-92bd-4fc6-8002-13d8770acdce"]}],"mendeley":{"formattedCitation":"(Baumgard et al. 2015)","manualFormatting":"(Baumgard et al. 2015)","plainTextFormattedCitation":"(Baumgard et al. 2015)","previouslyFormattedCitation":"(Baumgard et al. 2015)"},"properties":{"noteIndex":0},"schema":"https://github.com/citation-style-language/schema/raw/master/csl-citation.json"}</w:instrText>
      </w:r>
      <w:r>
        <w:rPr>
          <w:rFonts w:cs="Arial" w:ascii="Arial" w:hAnsi="Arial"/>
          <w:sz w:val="22"/>
          <w:szCs w:val="22"/>
          <w:lang w:val="pt-BR"/>
        </w:rPr>
      </w:r>
      <w:r>
        <w:rPr>
          <w:sz w:val="22"/>
          <w:szCs w:val="22"/>
          <w:rFonts w:cs="Arial" w:ascii="Arial" w:hAnsi="Arial"/>
          <w:lang w:val="pt-BR"/>
        </w:rPr>
        <w:fldChar w:fldCharType="separate"/>
      </w:r>
      <w:r>
        <w:rPr>
          <w:rFonts w:cs="Arial" w:ascii="Arial" w:hAnsi="Arial"/>
          <w:sz w:val="22"/>
          <w:szCs w:val="22"/>
          <w:lang w:val="pt-BR"/>
        </w:rPr>
        <w:t>(BAUMGARD et al. 2015)</w:t>
      </w:r>
      <w:r>
        <w:rPr>
          <w:rFonts w:cs="Arial" w:ascii="Arial" w:hAnsi="Arial"/>
          <w:sz w:val="22"/>
          <w:szCs w:val="22"/>
          <w:lang w:val="pt-BR"/>
        </w:rPr>
      </w:r>
      <w:r>
        <w:rPr>
          <w:sz w:val="22"/>
          <w:szCs w:val="22"/>
          <w:rFonts w:cs="Arial" w:ascii="Arial" w:hAnsi="Arial"/>
          <w:lang w:val="pt-BR"/>
        </w:rPr>
        <w:fldChar w:fldCharType="end"/>
      </w:r>
      <w:r>
        <w:rPr>
          <w:rFonts w:cs="Arial" w:ascii="Arial" w:hAnsi="Arial"/>
          <w:sz w:val="22"/>
          <w:szCs w:val="22"/>
          <w:lang w:val="pt-BR"/>
        </w:rPr>
        <w:t xml:space="preserve">. O estresse por calor induz uma grande mudança nas respostas fisiológicas, metabólicas e comportamentais das vacas leiteiras </w:t>
      </w:r>
      <w:r>
        <w:fldChar w:fldCharType="begin"/>
      </w:r>
      <w:r>
        <w:rPr>
          <w:sz w:val="22"/>
          <w:szCs w:val="22"/>
          <w:rFonts w:cs="Arial" w:ascii="Arial" w:hAnsi="Arial"/>
          <w:lang w:val="pt-BR"/>
        </w:rPr>
        <w:instrText xml:space="preserve">ADDIN CSL_CITATION {"citationItems":[{"id":"ITEM-1","itemData":{"DOI":"10.1017/S175173111000090X","ISSN":"17517311","abstract":"Environmentally induced periods of heat stress decrease productivity with devastating economic consequences to global animal agriculture. Heat stress can be defined as a physiological condition when the core body temperature of a given species exceeds its range specified for normal activity, which results from a total heat load (internal production and environment) exceeding the capacity for heat dissipation and this prompts physiological and behavioral responses to reduce the strain. The ability of ruminants to regulate body temperature is species- and breed-dependent. Dairy breeds are typically more sensitive to heat stress than meat breeds, and higher-producing animals are more susceptible to heat stress because they generate more metabolic heat. During heat stress, ruminants, like other homeothermic animals, increase avenues of heat loss and reduce heat production in an attempt to maintain euthermia. The immediate responses to heat load are increased respiration rates, decreased feed intake and increased water intake. Acclimatization is a process by which animals adapt to environmental conditions and engage behavioral, hormonal and metabolic changes that are characteristics of either acclimatory homeostasis or homeorhetic mechanisms used by the animals to survive in a new 'physiological state'. For example, alterations in the hormonal profile are mainly characterized by a decline and increase in anabolic and catabolic hormones, respectively. The response to heat load and the heat-induced change in homeorhetic modifiers alters post-absorptive energy, lipid and protein metabolism, impairs liver function, causes oxidative stress, jeopardizes the immune response and decreases reproductive performance. These physiological modifications alter nutrient partitioning and may prevent heat-stressed lactating cows from recruiting glucose-sparing mechanisms (despite the reduced nutrient intake). This might explain, in large part, why decreased feed intake only accounts for a minor portion of the reduced milk yield from environmentally induced hyperthermic cows. How these metabolic changes are initiated and regulated is not known. It also remains unclear how these changes differ between short-term v. long-term heat acclimation to impact animal productivity and well-being. A better understanding of the adaptations enlisted by ruminants during heat stress is necessary to enhance the likelihood of developing strategies to simultaneously improve heat tolerance and in…","author":[{"dropping-particle":"","family":"Bernabucci","given":"U.","non-dropping-particle":"","parse-names":false,"suffix":""},{"dropping-particle":"","family":"Lacetera","given":"N.","non-dropping-particle":"","parse-names":false,"suffix":""},{"dropping-particle":"","family":"Baumgard","given":"L. H.","non-dropping-particle":"","parse-names":false,"suffix":""},{"dropping-particle":"","family":"Rhoads","given":"R. P.","non-dropping-particle":"","parse-names":false,"suffix":""},{"dropping-particle":"","family":"Ronchi","given":"B.","non-dropping-particle":"","parse-names":false,"suffix":""},{"dropping-particle":"","family":"Nardone","given":"A.","non-dropping-particle":"","parse-names":false,"suffix":""}],"container-title":"Animal","id":"ITEM-1","issue":"7","issued":{"date-parts":[["2010"]]},"page":"1167-1183","publisher":"Elsevier","title":"Metabolic and hormonal acclimation to heat stress in domesticated ruminants","type":"article-journal","volume":"4"},"uris":["http://www.mendeley.com/documents/?uuid=8eae48bc-da10-40b2-a590-8358ef30b462"]},{"id":"ITEM-2","itemData":{"DOI":"10.3168/jds.2017-13727","ISSN":"15253198","PMID":"29331468","abstract":"Heat stress reduces cow milk yield and results in a significant economic loss for the dairy industry. During lactation, heat stress lowers milk production by 25 to 40% with half of the decrease in milk synthesis resulting from the reduced feed intake. In vitro studies indicate that primary bovine mammary epithelial cells display greater rates of programmed cell death when exposed to high ambient temperatures, which may lead to a decrease in the total number of mammary epithelial cells in the mammary gland, partially explaining the lower milk production of lactating cows under heat stress. The function of mammary cells is also altered by heat stress. In response to heat stress, mammary cells display higher gene expression of heat shock proteins, indicating a need for cytoprotection from protein aggregation and degradation. Further, heat stress results in increased gene expression without altering protein expression of mammary epithelial cell junction proteins, and does not substantially influence the integrity of mammary epithelium. These data suggest that the mammary gland strives to maintain cell-to-cell junction integrity by synthesizing more proteins to compensate for protein losses induced by heat stress. During the dry period, heat stress negatively affects mammary gland development by reducing mammary cell proliferation before parturition, resulting in a dramatic decrease in milk production in the subsequent lactation. In addition to mammary growth, the mammary gland of the heat-stressed dry cow has reduced protein expression of autophagic proteins in the early dry period, suggesting heat stress influences mammary involution. Emerging evidence also indicates that heifers born to cows that experience late-gestation heat stress have lower milk yield during their first lactation, implying that the maternal environment may alter mammary gland development of the offspring. It is not clear if this is due to a direct epigenetic modification of prenatal mammary gland development by maternal heat stress. More research is needed to elucidate the effect of heat stress on mammary gland development and function.","author":[{"dropping-particle":"","family":"Tao","given":"S","non-dropping-particle":"","parse-names":false,"suffix":""},{"dropping-particle":"","family":"Orellana","given":"R M","non-dropping-particle":"","parse-names":false,"suffix":""},{"dropping-particle":"","family":"Weng","given":"X","non-dropping-particle":"","parse-names":false,"suffix":""},{"dropping-particle":"","family":"Marins","given":"T N","non-dropping-particle":"","parse-names":false,"suffix":""},{"dropping-particle":"","family":"Dahl","given":"G E","non-dropping-particle":"","parse-names":false,"suffix":""},{"dropping-particle":"","family":"Bernard","given":"J K","non-dropping-particle":"","parse-names":false,"suffix":""}],"container-title":"Journal of Dairy Science","id":"ITEM-2","issue":"6","issued":{"date-parts":[["2018"]]},"page":"5642-5654","publisher":"American Dairy Science Association","title":"Symposium review: The influences of heat stress on bovine mammary gland function1","type":"article-journal","volume":"101"},"uris":["http://www.mendeley.com/documents/?uuid=9f7d268c-b071-4919-8705-01b198a4b6e0"]},{"id":"ITEM-3","itemData":{"DOI":"10.1590/1678-4162-12884","ISSN":"16784162","abstract":"The objective of this work was to compare the dry matter intake, milk yield and quality, physiological and biochemical parameters in Holstein (n=10) and Jersey (n=10) cows under heat stress and insolation, in two treatments: CL – cooling by ventilation and sprinkling and HS – heat stress and insolation. Data were submitted to ANOVA. There was an interaction between treatment and breed and day effect for dry matter intake. For consumption in % of body weight, CL and Jersey cows consumed more. CL cows produced more milk and 3.5% fat-corrected milk. Feed efficiency was similar between treatments and breeds. Fat, lactose, total solids, and somatic cell score did not differ. The concentration of milk urea nitrogen was higher for CL cows. Milk from Holstein cows had greater stability to alcohol, and from HT cows had a greater freezing point of milk. HT cows had higher respiratory rates in the morning and surface temperatures in the afternoon. There were no differences in beta-hydroxybutyrate and glucose concentrations. Heat stress, with insulation, reduces intake, especially in Holstein cows, as well as milk production and increases the freezing point of milk, respiratory rate, and surface temperature.","author":[{"dropping-particle":"","family":"Hauser","given":"A.","non-dropping-particle":"","parse-names":false,"suffix":""},{"dropping-particle":"","family":"França","given":"M.","non-dropping-particle":"","parse-names":false,"suffix":""},{"dropping-particle":"","family":"Hauser","given":"R.","non-dropping-particle":"","parse-names":false,"suffix":""},{"dropping-particle":"","family":"Scheid","given":"A. L.","non-dropping-particle":"","parse-names":false,"suffix":""},{"dropping-particle":"","family":"Perazzoli","given":"L.","non-dropping-particle":"","parse-names":false,"suffix":""},{"dropping-particle":"","family":"Mendes","given":"B. P.B.","non-dropping-particle":"","parse-names":false,"suffix":""},{"dropping-particle":"","family":"Telles","given":"I. P.","non-dropping-particle":"","parse-names":false,"suffix":""},{"dropping-particle":"","family":"Miletti","given":"L. C.","non-dropping-particle":"","parse-names":false,"suffix":""},{"dropping-particle":"","family":"Neto","given":"A. Thaler","non-dropping-particle":"","parse-names":false,"suffix":""}],"container-title":"Arquivo Brasileiro de Medicina Veterinaria e Zootecnia","id":"ITEM-3","issue":"4","issued":{"date-parts":[["2023"]]},"page":"721-734","title":"Effect of heat stress and solar radiation on dry matter intake, biochemical indicators, production, and quality of Holstein and Jersey cows' milk","type":"article-journal","volume":"75"},"uris":["http://www.mendeley.com/documents/?uuid=cda357e2-a521-4ebc-b541-7860e3e30b27"]}],"mendeley":{"formattedCitation":"(Bernabucci et al. 2010; Tao et al. 2018; Hauser et al. 2023)","plainTextFormattedCitation":"(Bernabucci et al. 2010; Tao et al. 2018; Hauser et al. 2023)","previouslyFormattedCitation":"(Bernabucci et al. 2010; Tao et al. 2018; Hauser et al. 2023)"},"properties":{"noteIndex":0},"schema":"https://github.com/citation-style-language/schema/raw/master/csl-citation.json"}</w:instrText>
      </w:r>
      <w:r>
        <w:rPr>
          <w:rFonts w:cs="Arial" w:ascii="Arial" w:hAnsi="Arial"/>
          <w:sz w:val="22"/>
          <w:szCs w:val="22"/>
          <w:lang w:val="pt-BR"/>
        </w:rPr>
      </w:r>
      <w:r>
        <w:rPr>
          <w:sz w:val="22"/>
          <w:szCs w:val="22"/>
          <w:rFonts w:cs="Arial" w:ascii="Arial" w:hAnsi="Arial"/>
          <w:lang w:val="pt-BR"/>
        </w:rPr>
        <w:fldChar w:fldCharType="separate"/>
      </w:r>
      <w:r>
        <w:rPr>
          <w:rFonts w:cs="Arial" w:ascii="Arial" w:hAnsi="Arial"/>
          <w:sz w:val="22"/>
          <w:szCs w:val="22"/>
          <w:lang w:val="pt-BR"/>
        </w:rPr>
        <w:t>(BERNABUCCI et al. 2010)</w:t>
      </w:r>
      <w:r>
        <w:rPr>
          <w:rFonts w:cs="Arial" w:ascii="Arial" w:hAnsi="Arial"/>
          <w:sz w:val="22"/>
          <w:szCs w:val="22"/>
          <w:lang w:val="pt-BR"/>
        </w:rPr>
      </w:r>
      <w:r>
        <w:rPr>
          <w:sz w:val="22"/>
          <w:szCs w:val="22"/>
          <w:rFonts w:cs="Arial" w:ascii="Arial" w:hAnsi="Arial"/>
          <w:lang w:val="pt-BR"/>
        </w:rPr>
        <w:fldChar w:fldCharType="end"/>
      </w:r>
      <w:r>
        <w:rPr>
          <w:rFonts w:cs="Arial" w:ascii="Arial" w:hAnsi="Arial"/>
          <w:sz w:val="22"/>
          <w:szCs w:val="22"/>
          <w:lang w:val="pt-BR"/>
        </w:rPr>
        <w:t xml:space="preserve">. Como consequência direta, há uma diminuição na produção de leite e de sólidos, bem como alterações nos parâmetros físico-químicos do leite </w:t>
      </w:r>
      <w:r>
        <w:fldChar w:fldCharType="begin"/>
      </w:r>
      <w:r>
        <w:rPr>
          <w:sz w:val="22"/>
          <w:szCs w:val="22"/>
          <w:rFonts w:cs="Arial" w:ascii="Arial" w:hAnsi="Arial"/>
          <w:lang w:val="pt-BR"/>
        </w:rPr>
        <w:instrText xml:space="preserve">ADDIN CSL_CITATION {"citationItems":[{"id":"ITEM-1","itemData":{"DOI":"10.1007/s00484-021-02237-3","ISBN":"0123456789","ISSN":"14321254","PMID":"34993629","abstract":"The aim of this study was to evaluate the rumination time, activity index, milk yield (MY), physicochemical milk characteristics, and physiological indicators of pure Holstein (H) and first (F1- ½ Holstein × Jersey) and second-generation (R1- ¾ Holstein × ¼ Jersey) of crossbred cows in a pasture-based system under the influence of different temperature–humidity indexes (THI). Twenty-two multiparous cows (H = 7, F1 = 5, and R1 = 10) were evaluated throughout 1-year period. Daily information on rumination time and activity index was obtained using the software HealthyCow24® and the daily THI was determined from data logger information. Weekly, MY, physicochemical milk characteristics, body weight, body condition score, and physiological indicators were evaluated. THI were grouped into six classes from safe (&lt; 68) to emergency (≥ 84). Variance analyses were performed. There was no interaction between the genetic group and THI classes for any trait. The rumination time was longer for crossbred R1 and F1 cows than for Holstein cows. The activity index increased, and rumination time decreased as the THI classes increased. There was no difference in MY between the genetic groups, but crossbred cows showed higher milk fat and protein content. Our study indicated that the high THI increases the activity index and decreases the rumination time, MY, and the physicochemical quality of milk, BW, BCS, RF, and RT of the three genetic groups (H, F1, and R1).","author":[{"dropping-particle":"","family":"Kappes","given":"Roberto","non-dropping-particle":"","parse-names":false,"suffix":""},{"dropping-particle":"","family":"Knob","given":"Deise Aline","non-dropping-particle":"","parse-names":false,"suffix":""},{"dropping-particle":"","family":"Scheid","given":"Angelica Leticia","non-dropping-particle":"","parse-names":false,"suffix":""},{"dropping-particle":"","family":"Barreta","given":"Bruno Emanuel","non-dropping-particle":"","parse-names":false,"suffix":""},{"dropping-particle":"","family":"Perazzoli","given":"Laiz","non-dropping-particle":"","parse-names":false,"suffix":""},{"dropping-particle":"","family":"Mendes","given":"Bruna Bergamaschi","non-dropping-particle":"","parse-names":false,"suffix":""},{"dropping-particle":"","family":"Alessio","given":"Dileta Regina Moro","non-dropping-particle":"","parse-names":false,"suffix":""},{"dropping-particle":"","family":"Neto","given":"André Thaler","non-dropping-particle":"","parse-names":false,"suffix":""}],"container-title":"International Journal of Biometeorology","id":"ITEM-1","issue":"4","issued":{"date-parts":[["2022"]]},"page":"791-801","publisher":"Springer Berlin Heidelberg","title":"Rumination time, activity index, and productive performance of Holstein and crossbred Holstein × jersey cows exposed to different temperature-humidity indexes","type":"article-journal","volume":"66"},"uris":["http://www.mendeley.com/documents/?uuid=3788c060-809d-4de5-bbc5-f4065e370263"]}],"mendeley":{"formattedCitation":"(Kappes et al. 2022)","manualFormatting":"(Kappes et al. 2022)","plainTextFormattedCitation":"(Kappes et al. 2022)","previouslyFormattedCitation":"(Kappes et al. 2022)"},"properties":{"noteIndex":0},"schema":"https://github.com/citation-style-language/schema/raw/master/csl-citation.json"}</w:instrText>
      </w:r>
      <w:r>
        <w:rPr>
          <w:rFonts w:cs="Arial" w:ascii="Arial" w:hAnsi="Arial"/>
          <w:sz w:val="22"/>
          <w:szCs w:val="22"/>
          <w:lang w:val="pt-BR"/>
        </w:rPr>
      </w:r>
      <w:r>
        <w:rPr>
          <w:sz w:val="22"/>
          <w:szCs w:val="22"/>
          <w:rFonts w:cs="Arial" w:ascii="Arial" w:hAnsi="Arial"/>
          <w:lang w:val="pt-BR"/>
        </w:rPr>
        <w:fldChar w:fldCharType="separate"/>
      </w:r>
      <w:r>
        <w:rPr>
          <w:rFonts w:cs="Arial" w:ascii="Arial" w:hAnsi="Arial"/>
          <w:sz w:val="22"/>
          <w:szCs w:val="22"/>
          <w:lang w:val="pt-BR"/>
        </w:rPr>
        <w:t>(KAPPES et al. 2022)</w:t>
      </w:r>
      <w:r>
        <w:rPr>
          <w:rFonts w:cs="Arial" w:ascii="Arial" w:hAnsi="Arial"/>
          <w:sz w:val="22"/>
          <w:szCs w:val="22"/>
          <w:lang w:val="pt-BR"/>
        </w:rPr>
      </w:r>
      <w:r>
        <w:rPr>
          <w:sz w:val="22"/>
          <w:szCs w:val="22"/>
          <w:rFonts w:cs="Arial" w:ascii="Arial" w:hAnsi="Arial"/>
          <w:lang w:val="pt-BR"/>
        </w:rPr>
        <w:fldChar w:fldCharType="end"/>
      </w:r>
      <w:r>
        <w:rPr>
          <w:rFonts w:cs="Arial" w:ascii="Arial" w:hAnsi="Arial"/>
          <w:sz w:val="22"/>
          <w:szCs w:val="22"/>
          <w:lang w:val="pt-BR"/>
        </w:rPr>
        <w:t>. Em sistemas a pasto, o desafio ao estresse por calor é ainda maior, considerando que os animais são expostos diretamente a radiação solar e a altas temperaturas.</w:t>
      </w:r>
    </w:p>
    <w:p>
      <w:pPr>
        <w:pStyle w:val="Corpodotexto"/>
        <w:ind w:right="6" w:hanging="0"/>
        <w:jc w:val="both"/>
        <w:rPr>
          <w:rFonts w:ascii="Arial" w:hAnsi="Arial" w:cs="Arial"/>
          <w:sz w:val="22"/>
          <w:szCs w:val="22"/>
          <w:lang w:val="pt-BR"/>
        </w:rPr>
      </w:pPr>
      <w:r>
        <w:rPr>
          <w:rFonts w:cs="Arial" w:ascii="Arial" w:hAnsi="Arial"/>
          <w:sz w:val="22"/>
          <w:szCs w:val="22"/>
          <w:lang w:val="pt-BR"/>
        </w:rPr>
        <w:t xml:space="preserve">Algumas abordagens nutricionais podem ser usadas para reduzir o impacto do estresse por calor sobre a produção de leite </w:t>
      </w:r>
      <w:r>
        <w:fldChar w:fldCharType="begin"/>
      </w:r>
      <w:r>
        <w:rPr>
          <w:sz w:val="22"/>
          <w:szCs w:val="22"/>
          <w:rFonts w:cs="Arial" w:ascii="Arial" w:hAnsi="Arial"/>
          <w:lang w:val="pt-BR"/>
        </w:rPr>
        <w:instrText xml:space="preserve">ADDIN CSL_CITATION {"citationItems":[{"id":"ITEM-1","itemData":{"DOI":"10.1017/S175173111000090X","ISSN":"17517311","abstract":"Environmentally induced periods of heat stress decrease productivity with devastating economic consequences to global animal agriculture. Heat stress can be defined as a physiological condition when the core body temperature of a given species exceeds its range specified for normal activity, which results from a total heat load (internal production and environment) exceeding the capacity for heat dissipation and this prompts physiological and behavioral responses to reduce the strain. The ability of ruminants to regulate body temperature is species- and breed-dependent. Dairy breeds are typically more sensitive to heat stress than meat breeds, and higher-producing animals are more susceptible to heat stress because they generate more metabolic heat. During heat stress, ruminants, like other homeothermic animals, increase avenues of heat loss and reduce heat production in an attempt to maintain euthermia. The immediate responses to heat load are increased respiration rates, decreased feed intake and increased water intake. Acclimatization is a process by which animals adapt to environmental conditions and engage behavioral, hormonal and metabolic changes that are characteristics of either acclimatory homeostasis or homeorhetic mechanisms used by the animals to survive in a new 'physiological state'. For example, alterations in the hormonal profile are mainly characterized by a decline and increase in anabolic and catabolic hormones, respectively. The response to heat load and the heat-induced change in homeorhetic modifiers alters post-absorptive energy, lipid and protein metabolism, impairs liver function, causes oxidative stress, jeopardizes the immune response and decreases reproductive performance. These physiological modifications alter nutrient partitioning and may prevent heat-stressed lactating cows from recruiting glucose-sparing mechanisms (despite the reduced nutrient intake). This might explain, in large part, why decreased feed intake only accounts for a minor portion of the reduced milk yield from environmentally induced hyperthermic cows. How these metabolic changes are initiated and regulated is not known. It also remains unclear how these changes differ between short-term v. long-term heat acclimation to impact animal productivity and well-being. A better understanding of the adaptations enlisted by ruminants during heat stress is necessary to enhance the likelihood of developing strategies to simultaneously improve heat tolerance and in…","author":[{"dropping-particle":"","family":"Bernabucci","given":"U.","non-dropping-particle":"","parse-names":false,"suffix":""},{"dropping-particle":"","family":"Lacetera","given":"N.","non-dropping-particle":"","parse-names":false,"suffix":""},{"dropping-particle":"","family":"Baumgard","given":"L. H.","non-dropping-particle":"","parse-names":false,"suffix":""},{"dropping-particle":"","family":"Rhoads","given":"R. P.","non-dropping-particle":"","parse-names":false,"suffix":""},{"dropping-particle":"","family":"Ronchi","given":"B.","non-dropping-particle":"","parse-names":false,"suffix":""},{"dropping-particle":"","family":"Nardone","given":"A.","non-dropping-particle":"","parse-names":false,"suffix":""}],"container-title":"Animal","id":"ITEM-1","issue":"7","issued":{"date-parts":[["2010"]]},"page":"1167-1183","publisher":"Elsevier","title":"Metabolic and hormonal acclimation to heat stress in domesticated ruminants","type":"article-journal","volume":"4"},"uris":["http://www.mendeley.com/documents/?uuid=8eae48bc-da10-40b2-a590-8358ef30b462"]}],"mendeley":{"formattedCitation":"(Bernabucci et al. 2010)","manualFormatting":"(Bernabucci et al. 2010)","plainTextFormattedCitation":"(Bernabucci et al. 2010)","previouslyFormattedCitation":"(Bernabucci et al. 2010)"},"properties":{"noteIndex":0},"schema":"https://github.com/citation-style-language/schema/raw/master/csl-citation.json"}</w:instrText>
      </w:r>
      <w:r>
        <w:rPr>
          <w:rFonts w:cs="Arial" w:ascii="Arial" w:hAnsi="Arial"/>
          <w:sz w:val="22"/>
          <w:szCs w:val="22"/>
          <w:lang w:val="pt-BR"/>
        </w:rPr>
      </w:r>
      <w:r>
        <w:rPr>
          <w:sz w:val="22"/>
          <w:szCs w:val="22"/>
          <w:rFonts w:cs="Arial" w:ascii="Arial" w:hAnsi="Arial"/>
          <w:lang w:val="pt-BR"/>
        </w:rPr>
        <w:fldChar w:fldCharType="separate"/>
      </w:r>
      <w:r>
        <w:rPr>
          <w:rFonts w:cs="Arial" w:ascii="Arial" w:hAnsi="Arial"/>
          <w:sz w:val="22"/>
          <w:szCs w:val="22"/>
          <w:lang w:val="pt-BR"/>
        </w:rPr>
        <w:t>(BERNABUCCI et al. 2010)</w:t>
      </w:r>
      <w:r>
        <w:rPr>
          <w:rFonts w:cs="Arial" w:ascii="Arial" w:hAnsi="Arial"/>
          <w:sz w:val="22"/>
          <w:szCs w:val="22"/>
          <w:lang w:val="pt-BR"/>
        </w:rPr>
      </w:r>
      <w:r>
        <w:rPr>
          <w:sz w:val="22"/>
          <w:szCs w:val="22"/>
          <w:rFonts w:cs="Arial" w:ascii="Arial" w:hAnsi="Arial"/>
          <w:lang w:val="pt-BR"/>
        </w:rPr>
        <w:fldChar w:fldCharType="end"/>
      </w:r>
      <w:r>
        <w:rPr>
          <w:rFonts w:cs="Arial" w:ascii="Arial" w:hAnsi="Arial"/>
          <w:sz w:val="22"/>
          <w:szCs w:val="22"/>
          <w:lang w:val="pt-BR"/>
        </w:rPr>
        <w:t xml:space="preserve">. A suplementação lipídica é uma dessas alternativas, pois há um aumento da densidade energética da dieta </w:t>
      </w:r>
      <w:r>
        <w:fldChar w:fldCharType="begin"/>
      </w:r>
      <w:r>
        <w:rPr>
          <w:sz w:val="22"/>
          <w:szCs w:val="22"/>
          <w:rFonts w:cs="Arial" w:ascii="Arial" w:hAnsi="Arial"/>
          <w:lang w:val="pt-BR"/>
        </w:rPr>
        <w:instrText xml:space="preserve">ADDIN CSL_CITATION {"citationItems":[{"id":"ITEM-1","itemData":{"DOI":"10.3168/jds.2017-12924","ISSN":"15253198","PMID":"29153155","abstract":"Over 100 years, the Journal of Dairy Science has recorded incredible changes in the utilization of fat for dairy cattle. Fat has progressed from nothing more than a contaminant in some protein supplements to a valuable high-energy substitute for cereal grains, a valuable energy source in its own right, and a modifier of cellular metabolism that is under active investigation in the 21st century. Milestones in the use of fats for dairy cattle from 1917 to 2017 result from the combined efforts of noted scientists and industry personnel worldwide, with much of the research published in Journal of Dairy Science. We are humbled to have been asked to contribute to this historical collection of significant developments in fat research over the past 100 years. Our goal is not to detail all the work published as each development moved forward; rather, it is to point out when publication marked a significant change in thinking regarding use of fat supplements. This approach forced omission of critically important names and publications in many journals as ideas moved forward. However, we hope that a description of the major changes in fat feeding during the past 100 years will stimulate reflection on progress in fat research and encourage further perusal of details of significant events.","author":[{"dropping-particle":"","family":"Palmquist","given":"D. L.","non-dropping-particle":"","parse-names":false,"suffix":""},{"dropping-particle":"","family":"Jenkins","given":"T. C.","non-dropping-particle":"","parse-names":false,"suffix":""}],"container-title":"Journal of Dairy Science","id":"ITEM-1","issue":"12","issued":{"date-parts":[["2017"]]},"page":"10061-10077","publisher":"American Dairy Science Association","title":"A 100-Year Review: Fat feeding of dairy cows","type":"article-journal","volume":"100"},"uris":["http://www.mendeley.com/documents/?uuid=a3604804-c095-4fca-aad0-800014e314e9"]}],"mendeley":{"formattedCitation":"(Palmquist and Jenkins 2017)","manualFormatting":"(Palmquist and Jenkins 2017)","plainTextFormattedCitation":"(Palmquist and Jenkins 2017)","previouslyFormattedCitation":"(Palmquist and Jenkins 2017)"},"properties":{"noteIndex":0},"schema":"https://github.com/citation-style-language/schema/raw/master/csl-citation.json"}</w:instrText>
      </w:r>
      <w:r>
        <w:rPr>
          <w:rFonts w:cs="Arial" w:ascii="Arial" w:hAnsi="Arial"/>
          <w:sz w:val="22"/>
          <w:szCs w:val="22"/>
          <w:lang w:val="pt-BR"/>
        </w:rPr>
      </w:r>
      <w:r>
        <w:rPr>
          <w:sz w:val="22"/>
          <w:szCs w:val="22"/>
          <w:rFonts w:cs="Arial" w:ascii="Arial" w:hAnsi="Arial"/>
          <w:lang w:val="pt-BR"/>
        </w:rPr>
        <w:fldChar w:fldCharType="separate"/>
      </w:r>
      <w:r>
        <w:rPr>
          <w:rFonts w:cs="Arial" w:ascii="Arial" w:hAnsi="Arial"/>
          <w:sz w:val="22"/>
          <w:szCs w:val="22"/>
          <w:lang w:val="pt-BR"/>
        </w:rPr>
        <w:t>(PALMQUIST e JENKINS 2017)</w:t>
      </w:r>
      <w:r>
        <w:rPr>
          <w:rFonts w:cs="Arial" w:ascii="Arial" w:hAnsi="Arial"/>
          <w:sz w:val="22"/>
          <w:szCs w:val="22"/>
          <w:lang w:val="pt-BR"/>
        </w:rPr>
      </w:r>
      <w:r>
        <w:rPr>
          <w:sz w:val="22"/>
          <w:szCs w:val="22"/>
          <w:rFonts w:cs="Arial" w:ascii="Arial" w:hAnsi="Arial"/>
          <w:lang w:val="pt-BR"/>
        </w:rPr>
        <w:fldChar w:fldCharType="end"/>
      </w:r>
      <w:r>
        <w:rPr>
          <w:rFonts w:cs="Arial" w:ascii="Arial" w:hAnsi="Arial"/>
          <w:sz w:val="22"/>
          <w:szCs w:val="22"/>
          <w:lang w:val="pt-BR"/>
        </w:rPr>
        <w:t xml:space="preserve">, compensando a redução da ingestão de matéria seca nesses períodos de estresse por calor, melhorando a eficiência energética das vacas para a produção de leite </w:t>
      </w:r>
      <w:r>
        <w:fldChar w:fldCharType="begin"/>
      </w:r>
      <w:r>
        <w:rPr>
          <w:sz w:val="22"/>
          <w:szCs w:val="22"/>
          <w:rFonts w:cs="Arial" w:ascii="Arial" w:hAnsi="Arial"/>
          <w:lang w:val="pt-BR"/>
        </w:rPr>
        <w:instrText xml:space="preserve">ADDIN CSL_CITATION {"citationItems":[{"id":"ITEM-1","itemData":{"DOI":"10.1093/jn/138.2.403","ISSN":"15416100","PMID":"18203911","abstract":"Conjugated linoleic acid (CLA) isomers effect an impressive range of biological processes including the ability to inhibit milk fatty acid synthesis. Although this has been demonstrated in several mammals, research has been most extensive with dairy cows. The first isomer shown to affect milk fat synthesis during lactation was trans-10, cis-12 CLA, and its effects have been well characterized including dose-response relationships. Recent studies have tentatively identified 2 additional CLA isomers that regulate milk fat synthesis. Regulation by CLA occurs naturally in dairy cows when specific CLA isomers produced as intermediates in rumen biohydrogenation act to inhibit milk fat synthesis; this physiological example of nutritional genomics is referred to as diet-induced milk fat depression. Molecular mechanisms for the reduction in mammary lipid synthesis involve a coordinated down-regulation of mRNA expression for key lipogenic enzymes associated with the complementary pathways of milk fat synthesis. Results provide strong evidence of a role for sterol response element-binding protein 1 and Spot 14 in this translational regulation. Effects of CLA on body fat accretion have also been investigated in nonlactating animals, but CLA effects on mammary fatty acid synthesis occur at an order-of-magnitude lower dose and appear to involve very different mechanisms than those proposed for the antiobesity effects of CLA. Overall, results demonstrate the unique value of cows as a model to investigate the role of CLA in the regulation of milk fat synthesis during lactation. © 2008 American Society for Nutrition.","author":[{"dropping-particle":"","family":"Bauman","given":"Dale E.","non-dropping-particle":"","parse-names":false,"suffix":""},{"dropping-particle":"","family":"Perfield","given":"James W.","non-dropping-particle":"","parse-names":false,"suffix":""},{"dropping-particle":"","family":"Harvatine","given":"Kevin J.","non-dropping-particle":"","parse-names":false,"suffix":""},{"dropping-particle":"","family":"Baumgard","given":"Lance H.","non-dropping-particle":"","parse-names":false,"suffix":""}],"container-title":"Journal of Nutrition","id":"ITEM-1","issue":"2","issued":{"date-parts":[["2008"]]},"page":"403-409","title":"Regulation of fat synthesis by conjugated linoleic acid: Lactation and the ruminant model","type":"article-journal","volume":"138"},"uris":["http://www.mendeley.com/documents/?uuid=344d21e1-30d9-4f2d-849a-dc00205a8edd"]}],"mendeley":{"formattedCitation":"(Bauman et al. 2008)","manualFormatting":"(Bauman et al. 2008)","plainTextFormattedCitation":"(Bauman et al. 2008)","previouslyFormattedCitation":"(Bauman et al. 2008)"},"properties":{"noteIndex":0},"schema":"https://github.com/citation-style-language/schema/raw/master/csl-citation.json"}</w:instrText>
      </w:r>
      <w:r>
        <w:rPr>
          <w:rFonts w:cs="Arial" w:ascii="Arial" w:hAnsi="Arial"/>
          <w:sz w:val="22"/>
          <w:szCs w:val="22"/>
          <w:lang w:val="pt-BR"/>
        </w:rPr>
      </w:r>
      <w:r>
        <w:rPr>
          <w:sz w:val="22"/>
          <w:szCs w:val="22"/>
          <w:rFonts w:cs="Arial" w:ascii="Arial" w:hAnsi="Arial"/>
          <w:lang w:val="pt-BR"/>
        </w:rPr>
        <w:fldChar w:fldCharType="separate"/>
      </w:r>
      <w:r>
        <w:rPr>
          <w:rFonts w:cs="Arial" w:ascii="Arial" w:hAnsi="Arial"/>
          <w:sz w:val="22"/>
          <w:szCs w:val="22"/>
          <w:lang w:val="pt-BR"/>
        </w:rPr>
        <w:t>(BAUMAN et al. 2008)</w:t>
      </w:r>
      <w:r>
        <w:rPr>
          <w:rFonts w:cs="Arial" w:ascii="Arial" w:hAnsi="Arial"/>
          <w:sz w:val="22"/>
          <w:szCs w:val="22"/>
          <w:lang w:val="pt-BR"/>
        </w:rPr>
      </w:r>
      <w:r>
        <w:rPr>
          <w:sz w:val="22"/>
          <w:szCs w:val="22"/>
          <w:rFonts w:cs="Arial" w:ascii="Arial" w:hAnsi="Arial"/>
          <w:lang w:val="pt-BR"/>
        </w:rPr>
        <w:fldChar w:fldCharType="end"/>
      </w:r>
      <w:r>
        <w:rPr>
          <w:rFonts w:cs="Arial" w:ascii="Arial" w:hAnsi="Arial"/>
          <w:sz w:val="22"/>
          <w:szCs w:val="22"/>
          <w:lang w:val="pt-BR"/>
        </w:rPr>
        <w:t xml:space="preserve">. Estudos mostram que o óleo de linhaça se destaca na utilização para a nutrição de vacas leiteiras </w:t>
      </w:r>
      <w:r>
        <w:fldChar w:fldCharType="begin"/>
      </w:r>
      <w:r>
        <w:rPr>
          <w:sz w:val="22"/>
          <w:szCs w:val="22"/>
          <w:rFonts w:cs="Arial" w:ascii="Arial" w:hAnsi="Arial"/>
          <w:lang w:val="pt-BR"/>
        </w:rPr>
        <w:instrText xml:space="preserve">ADDIN CSL_CITATION {"citationItems":[{"id":"ITEM-1","itemData":{"DOI":"10.3168/jds.S0022-0302(05)72736-3","ISSN":"00220302","PMID":"15653539","abstract":"Effects on fatty acid profiles and milk fat yield due to dietary concentrate and supplemental 18:3n-3 were evaluated in 4 lactating Holstein cows fed a low- (35:65 concentrate:forage; L) or high- (65:35; H) concentrate diet without (LC, HC) added oil or with linseed oil (LCO, HCO) at 3% of DM. A 4 x 4 Latin square with four 4-wk periods was used. Milk yield and dry matter intake averaged 26.7 and 20.2 kg/d, respectively, across treatments. Plasma acetate and β-hydroxybutyrate decreased, whereas glucose, nonesterified fatty acids, and leptin increased with high-concentrate diets. Milk fat percentage was lower in cows fed high-concentrate diets (2.31 vs. 3.38), resulting in decreases in yield of 11 (HC) and 42% (HCO). Reduced yields of 8:0-16:0 and cis9-18:1 fatty acids accounted for 69 and 17%, respectively, of the decrease in milk fat yield with HC vs. LC (-90 g/d), and for 26 and 33%, respectively, of the decrease with HCO vs. LCO (-400 g/d). Total trans-18:1 yield increased by 25 (HCO) and 59 (LCO) g/d with oil addition. Trans10-18:1 yield was 5-fold greater with high-concentrate diets. Trans11-18:1 increased by 13 (HCO) and 19 (LCO) g/d with oil addition. Trans13+14-18:1 yield increased by 9 (HCO) and 18 (LCO) g/d with linseed oil. Yield of total conjugated linoleic acids (CLA) in milk averaged 6 g/d with LC or HC compared with 14 g/d with LCO or HCO. Cis9,trans11-CLA yield was not affected by concentrate level but increased by 147% in response to oil. Feeding oil increased yields of trans11,cis13-,trans11,trans13-, and trans,trans-CLA, primarily with LCO. Trans10,cis12-CLA yield (average of 0.08 g/d) was not affected by treatments. Yield of trans11,cis15-18:2 was 1 g/d in cows fed LC or HC and 10 g/d with LCO or HCO. Yields of cis9,trans11-18:2, cis9,trans12-18:2, and cis9,trans13-18:2 were positively correlated (r = 0.74 to 0.94) with yields of trans11-18:1, trans12-18:1, and trans13+14-18:1, respectively. Plasma concentrations of biohydrogenation intermediates with concentrate or linseed oil level followed similar changes as those in milk fat. Milk fat depression was observed when HC induced an increase in trans10-18:1 yield. A correlation of 0.84 across 31 comparisons from 13 published studies, including the present one, was found among the increase in percentage of trans10-18:1 in milk fat and decreased milk fat yield. We observed, however, more drastic milk fat depression when HCO increased yields of total trans-18:1, trans11,cis15-18:2, trans …","author":[{"dropping-particle":"","family":"Loor","given":"J. J.","non-dropping-particle":"","parse-names":false,"suffix":""},{"dropping-particle":"","family":"Ferlay","given":"A.","non-dropping-particle":"","parse-names":false,"suffix":""},{"dropping-particle":"","family":"Ollier","given":"A.","non-dropping-particle":"","parse-names":false,"suffix":""},{"dropping-particle":"","family":"Doreau","given":"M.","non-dropping-particle":"","parse-names":false,"suffix":""},{"dropping-particle":"","family":"Chilliard","given":"Y.","non-dropping-particle":"","parse-names":false,"suffix":""}],"container-title":"Journal of Dairy Science","id":"ITEM-1","issue":"2","issued":{"date-parts":[["2005"]]},"page":"726-740","publisher":"Elsevier","title":"Relationship among trans and conjugated fatty acids and bovine milk fat yield due to dietary concentrate and linseed oil","type":"article-journal","volume":"88"},"uris":["http://www.mendeley.com/documents/?uuid=6d44c9bc-0b3a-42c7-8982-23a613d41f96"]},{"id":"ITEM-2","itemData":{"DOI":"10.3168/jds.2009-2839","ISSN":"00220302","PMID":"20338420","abstract":"The aim of this experiment was to compare the effects of increasing amounts of extruded linseed in dairy cow diet on milk fat yield, milk fatty acid (FA) composition, milk fat globule size, and butter properties. Thirty-six Prim'Holstein cows at 104 d in milk were sorted into 3 groups by milk production and milk fat globule size. Three diets were assigned: a total mixed ration (control) consisting of corn silage (70%) and concentrate (30%), or a supplemented ration based on the control ration but where part of the concentrate energy was replaced on a dry matter basis by 2.1% (LIN1) or 4.3% (LIN2) extruded linseed. The increased amounts of extruded linseed linearly decreased milk fat content and milk fat globule size and linearly increased the percentage of milk unsaturated FA, specifically α-linolenic acid and trans FA. Extruded linseed had no significant effect on butter color or on the sensory properties of butters, with only butter texture in the mouth improved. The LIN2 treatment induced a net improvement of milk nutritional properties but also created problems with transforming the cream into butter. The butters obtained were highly spreadable and melt-in-the-mouth, with no pronounced deficiency in taste. The LIN1 treatment appeared to offer a good tradeoff of improved milk FA profile and little effect on butter-making while still offering butters with improved functional properties. © 2010 American Dairy Science Association.","author":[{"dropping-particle":"","family":"Hurtaud","given":"C.","non-dropping-particle":"","parse-names":false,"suffix":""},{"dropping-particle":"","family":"Faucon","given":"F.","non-dropping-particle":"","parse-names":false,"suffix":""},{"dropping-particle":"","family":"Couvreur","given":"S.","non-dropping-particle":"","parse-names":false,"suffix":""},{"dropping-particle":"","family":"Peyraud","given":"J. L.","non-dropping-particle":"","parse-names":false,"suffix":""}],"container-title":"Journal of Dairy Science","id":"ITEM-2","issue":"4","issued":{"date-parts":[["2010"]]},"page":"1429-1443","publisher":"Elsevier","title":"Linear relationship between increasing amounts of extruded linseed in dairy cow diet and milk fatty acid composition and butter properties","type":"article-journal","volume":"93"},"uris":["http://www.mendeley.com/documents/?uuid=4c3fd524-f60f-4e57-8652-7299a9cca432"]}],"mendeley":{"formattedCitation":"(Loor et al. 2005; Hurtaud et al. 2010)","manualFormatting":"(Hurtaud et al. 2010; Loor et al. 2005)","plainTextFormattedCitation":"(Loor et al. 2005; Hurtaud et al. 2010)","previouslyFormattedCitation":"(Loor et al. 2005; Hurtaud et al. 2010)"},"properties":{"noteIndex":0},"schema":"https://github.com/citation-style-language/schema/raw/master/csl-citation.json"}</w:instrText>
      </w:r>
      <w:r>
        <w:rPr>
          <w:rFonts w:cs="Arial" w:ascii="Arial" w:hAnsi="Arial"/>
          <w:sz w:val="22"/>
          <w:szCs w:val="22"/>
          <w:lang w:val="pt-BR"/>
        </w:rPr>
      </w:r>
      <w:r>
        <w:rPr>
          <w:sz w:val="22"/>
          <w:szCs w:val="22"/>
          <w:rFonts w:cs="Arial" w:ascii="Arial" w:hAnsi="Arial"/>
          <w:lang w:val="pt-BR"/>
        </w:rPr>
        <w:fldChar w:fldCharType="separate"/>
      </w:r>
      <w:r>
        <w:rPr>
          <w:rFonts w:cs="Arial" w:ascii="Arial" w:hAnsi="Arial"/>
          <w:sz w:val="22"/>
          <w:szCs w:val="22"/>
          <w:lang w:val="pt-BR"/>
        </w:rPr>
        <w:t>(HURTAUD et al. 2010)</w:t>
      </w:r>
      <w:r>
        <w:rPr>
          <w:rFonts w:cs="Arial" w:ascii="Arial" w:hAnsi="Arial"/>
          <w:sz w:val="22"/>
          <w:szCs w:val="22"/>
          <w:lang w:val="pt-BR"/>
        </w:rPr>
      </w:r>
      <w:r>
        <w:rPr>
          <w:sz w:val="22"/>
          <w:szCs w:val="22"/>
          <w:rFonts w:cs="Arial" w:ascii="Arial" w:hAnsi="Arial"/>
          <w:lang w:val="pt-BR"/>
        </w:rPr>
        <w:fldChar w:fldCharType="end"/>
      </w:r>
      <w:r>
        <w:rPr>
          <w:rFonts w:cs="Arial" w:ascii="Arial" w:hAnsi="Arial"/>
          <w:sz w:val="22"/>
          <w:szCs w:val="22"/>
          <w:lang w:val="pt-BR"/>
        </w:rPr>
        <w:t xml:space="preserve">. O objetivo deste estudo é avaliar o efeito da adição do óleo de linhaça sobre a produção, composição e parâmetros físico-químicos do leite de vacas a pasto nas estações de primavera e verão. </w:t>
      </w:r>
    </w:p>
    <w:p>
      <w:pPr>
        <w:pStyle w:val="Corpodotexto"/>
        <w:ind w:right="6" w:hanging="0"/>
        <w:jc w:val="both"/>
        <w:rPr>
          <w:rFonts w:ascii="Arial" w:hAnsi="Arial" w:cs="Arial"/>
          <w:sz w:val="22"/>
          <w:szCs w:val="22"/>
          <w:lang w:val="pt-BR"/>
        </w:rPr>
      </w:pPr>
      <w:r>
        <w:rPr>
          <w:rFonts w:cs="Arial" w:ascii="Arial" w:hAnsi="Arial"/>
          <w:sz w:val="22"/>
          <w:szCs w:val="22"/>
          <w:lang w:val="pt-BR"/>
        </w:rPr>
      </w:r>
    </w:p>
    <w:p>
      <w:pPr>
        <w:pStyle w:val="Corpodotexto"/>
        <w:ind w:right="6" w:hanging="0"/>
        <w:jc w:val="both"/>
        <w:rPr>
          <w:rFonts w:ascii="Arial" w:hAnsi="Arial" w:cs="Arial"/>
          <w:sz w:val="22"/>
          <w:szCs w:val="22"/>
          <w:lang w:val="pt-BR"/>
        </w:rPr>
      </w:pPr>
      <w:r>
        <w:rPr>
          <w:rFonts w:cs="Arial" w:ascii="Arial" w:hAnsi="Arial"/>
          <w:b/>
          <w:bCs/>
          <w:color w:val="000000"/>
          <w:sz w:val="22"/>
          <w:szCs w:val="22"/>
          <w:u w:val="none" w:color="000000"/>
          <w:lang w:val="pt-BR"/>
        </w:rPr>
        <w:t xml:space="preserve">Material e métodos: </w:t>
      </w:r>
      <w:r>
        <w:rPr>
          <w:rFonts w:cs="Arial" w:ascii="Arial" w:hAnsi="Arial"/>
          <w:color w:val="000000"/>
          <w:sz w:val="22"/>
          <w:szCs w:val="22"/>
          <w:u w:val="none" w:color="000000"/>
          <w:lang w:val="pt-BR"/>
        </w:rPr>
        <w:t xml:space="preserve">O estudo foi conduzido no setor de bovinocultura de leite da Universidade do Estado de Santa Catarina </w:t>
      </w:r>
      <w:r>
        <w:rPr>
          <w:rFonts w:cs="Arial" w:ascii="Arial" w:hAnsi="Arial"/>
          <w:sz w:val="22"/>
          <w:szCs w:val="22"/>
          <w:lang w:val="pt-BR"/>
        </w:rPr>
        <w:t xml:space="preserve">(UDESC–CAV). </w:t>
      </w:r>
      <w:bookmarkStart w:id="0" w:name="_Toc123141009"/>
      <w:bookmarkStart w:id="1" w:name="_Toc123140811"/>
      <w:r>
        <w:rPr>
          <w:rFonts w:cs="Arial" w:ascii="Arial" w:hAnsi="Arial"/>
          <w:sz w:val="22"/>
          <w:szCs w:val="22"/>
          <w:lang w:val="pt-BR"/>
        </w:rPr>
        <w:t xml:space="preserve">O estudo foi separado em dois experimentos: I – primavera, iniciando em setembro de 2021, e II – iniciando em fevereiro de 2022. Os dois experimentos foram quadrado latino 2 x 2, dois tratamentos e dois períodos de 22 dias, sendo 15 de adaptação e 7 de coletas. Os tratamentos foram: </w:t>
      </w:r>
      <w:r>
        <w:rPr>
          <w:rFonts w:cs="Arial" w:ascii="Arial" w:hAnsi="Arial"/>
          <w:b/>
          <w:bCs/>
          <w:sz w:val="22"/>
          <w:szCs w:val="22"/>
          <w:lang w:val="pt-BR"/>
        </w:rPr>
        <w:t>Controle (TC)</w:t>
      </w:r>
      <w:r>
        <w:rPr>
          <w:rFonts w:cs="Arial" w:ascii="Arial" w:hAnsi="Arial"/>
          <w:sz w:val="22"/>
          <w:szCs w:val="22"/>
          <w:lang w:val="pt-BR"/>
        </w:rPr>
        <w:t xml:space="preserve">: pasto + 6 kg/dia de concentrado; e </w:t>
      </w:r>
      <w:r>
        <w:rPr>
          <w:rFonts w:cs="Arial" w:ascii="Arial" w:hAnsi="Arial"/>
          <w:b/>
          <w:bCs/>
          <w:sz w:val="22"/>
          <w:szCs w:val="22"/>
          <w:lang w:val="pt-BR"/>
        </w:rPr>
        <w:t>suplementação com óleo de linhaça (TL)</w:t>
      </w:r>
      <w:r>
        <w:rPr>
          <w:rFonts w:cs="Arial" w:ascii="Arial" w:hAnsi="Arial"/>
          <w:sz w:val="22"/>
          <w:szCs w:val="22"/>
          <w:lang w:val="pt-BR"/>
        </w:rPr>
        <w:t xml:space="preserve">: pasto + 6 kg/dia de concertado + 400 g/dia de óleo de linhaça (OL), objetivando 6% de lipídeos na dieta. </w:t>
      </w:r>
    </w:p>
    <w:p>
      <w:pPr>
        <w:pStyle w:val="Corpodotexto"/>
        <w:ind w:right="6" w:hanging="0"/>
        <w:jc w:val="both"/>
        <w:rPr>
          <w:rFonts w:ascii="Arial" w:hAnsi="Arial" w:cs="Arial"/>
          <w:sz w:val="22"/>
          <w:szCs w:val="22"/>
          <w:lang w:val="pt-BR"/>
        </w:rPr>
      </w:pPr>
      <w:r>
        <w:rPr>
          <w:rFonts w:cs="Arial" w:ascii="Arial" w:hAnsi="Arial"/>
          <w:sz w:val="22"/>
          <w:szCs w:val="22"/>
          <w:lang w:val="pt-BR"/>
        </w:rPr>
        <w:t xml:space="preserve">No experimento I foram usadas 6 vacas por tratamento das raças Holandês e mestiças Holandês x Jersey, formando um grupo homogêneo para DEL (160 ± 64), peso (548 ± 50 kg), produção (24.6 ± 5.0 L/dia) e OP (2.5 ± 1.0). No experimento II foram usadas 5 vacas por tratamento, homogêneas para DEL (196 ± 49), peso (553 ± 60 kg), produção (21.7 ± 2.4 litros/dia) e OP (2.3 ± 1.4). </w:t>
      </w:r>
    </w:p>
    <w:p>
      <w:pPr>
        <w:pStyle w:val="Corpodotexto"/>
        <w:ind w:right="6" w:hanging="0"/>
        <w:jc w:val="both"/>
        <w:rPr>
          <w:rFonts w:ascii="Arial" w:hAnsi="Arial" w:cs="Arial"/>
          <w:sz w:val="22"/>
          <w:szCs w:val="22"/>
          <w:lang w:val="pt-BR"/>
        </w:rPr>
      </w:pPr>
      <w:r>
        <w:rPr>
          <w:rFonts w:cs="Arial" w:ascii="Arial" w:hAnsi="Arial"/>
          <w:sz w:val="22"/>
          <w:szCs w:val="22"/>
          <w:lang w:val="pt-BR"/>
        </w:rPr>
        <w:t>As vacas foram ordenhadas duas vezes ao dia. Após cada ordenha, as vacas receberam individualmente a suplementação de acordo com o respectivo tratamento. Posteriormente as vacas tinham livre acesso ao pasto, sem acesso a sombra e água para intensificar o efeito do estresse por calor. No experimento I, pasto de azevém perene</w:t>
      </w:r>
      <w:bookmarkEnd w:id="0"/>
      <w:bookmarkEnd w:id="1"/>
      <w:r>
        <w:rPr>
          <w:rFonts w:cs="Arial" w:ascii="Arial" w:hAnsi="Arial"/>
          <w:sz w:val="22"/>
          <w:szCs w:val="22"/>
          <w:lang w:val="pt-BR"/>
        </w:rPr>
        <w:t xml:space="preserve"> (</w:t>
      </w:r>
      <w:r>
        <w:rPr>
          <w:rFonts w:cs="Arial" w:ascii="Arial" w:hAnsi="Arial"/>
          <w:i/>
          <w:sz w:val="22"/>
          <w:szCs w:val="22"/>
          <w:lang w:val="pt-BR"/>
        </w:rPr>
        <w:t>Lolium multiflorum</w:t>
      </w:r>
      <w:r>
        <w:rPr>
          <w:rFonts w:cs="Arial" w:ascii="Arial" w:hAnsi="Arial"/>
          <w:sz w:val="22"/>
          <w:szCs w:val="22"/>
          <w:lang w:val="pt-BR"/>
        </w:rPr>
        <w:t xml:space="preserve"> cv. INIA TITAN</w:t>
      </w:r>
      <w:r>
        <w:rPr>
          <w:rFonts w:cs="Arial" w:ascii="Arial" w:hAnsi="Arial"/>
          <w:sz w:val="22"/>
          <w:szCs w:val="22"/>
          <w:vertAlign w:val="superscript"/>
          <w:lang w:val="pt-BR"/>
        </w:rPr>
        <w:t>®</w:t>
      </w:r>
      <w:r>
        <w:rPr>
          <w:rFonts w:cs="Arial" w:ascii="Arial" w:hAnsi="Arial"/>
          <w:sz w:val="22"/>
          <w:szCs w:val="22"/>
          <w:lang w:val="pt-BR"/>
        </w:rPr>
        <w:t xml:space="preserve"> - entrada 20–25 cm, saída 10–12 cm), e milheto (</w:t>
      </w:r>
      <w:r>
        <w:rPr>
          <w:rFonts w:cs="Arial" w:ascii="Arial" w:hAnsi="Arial"/>
          <w:i/>
          <w:sz w:val="22"/>
          <w:szCs w:val="22"/>
          <w:lang w:val="pt-BR"/>
        </w:rPr>
        <w:t xml:space="preserve">Pennisetum americanum </w:t>
      </w:r>
      <w:r>
        <w:rPr>
          <w:rFonts w:cs="Arial" w:ascii="Arial" w:hAnsi="Arial"/>
          <w:sz w:val="22"/>
          <w:szCs w:val="22"/>
          <w:lang w:val="pt-BR"/>
        </w:rPr>
        <w:t>entrada 50–70 cm, saída 20–30 cm) no experimento II.</w:t>
      </w:r>
    </w:p>
    <w:p>
      <w:pPr>
        <w:pStyle w:val="Corpodotexto"/>
        <w:ind w:right="6" w:hanging="0"/>
        <w:jc w:val="both"/>
        <w:rPr>
          <w:rFonts w:ascii="Arial" w:hAnsi="Arial" w:cs="Arial"/>
          <w:sz w:val="22"/>
          <w:szCs w:val="22"/>
          <w:lang w:val="pt-BR"/>
        </w:rPr>
      </w:pPr>
      <w:r>
        <w:rPr>
          <w:rFonts w:cs="Arial" w:ascii="Arial" w:hAnsi="Arial"/>
          <w:sz w:val="22"/>
          <w:szCs w:val="22"/>
          <w:lang w:val="pt-BR"/>
        </w:rPr>
        <w:t xml:space="preserve">A produção de leite foi mensurada diariamente. A composição (teores de gordura, proteína, caseína, lactose e sólidos totais) e os parâmetros físico-químicos do leite (teste do álcool, acidez titulável e crioscopia) e cloretos quantitativos foram avaliados nos dias 15, 18 e 21 de cada período experimental. Os dados meteorológicos de temperatura (TA) e umidade relativa do ar (URA) foram coletados a cada 15 minutos e usados para calcular o índice de temperatura e umidade (ITU): </w:t>
      </w:r>
      <w:r>
        <w:rPr>
          <w:rFonts w:cs="Arial" w:ascii="Arial" w:hAnsi="Arial"/>
          <w:bCs/>
          <w:sz w:val="22"/>
          <w:szCs w:val="22"/>
          <w:lang w:val="pt-BR"/>
        </w:rPr>
        <w:t>(1.8 × TA + 32) – [(0.55 – 0.0055 × URA) × (1.8 × TA – 26)].</w:t>
      </w:r>
    </w:p>
    <w:p>
      <w:pPr>
        <w:pStyle w:val="Corpodotexto"/>
        <w:ind w:right="6" w:hanging="0"/>
        <w:jc w:val="both"/>
        <w:rPr>
          <w:rFonts w:ascii="Arial" w:hAnsi="Arial" w:cs="Arial"/>
          <w:sz w:val="22"/>
          <w:szCs w:val="22"/>
          <w:lang w:val="pt-BR"/>
        </w:rPr>
      </w:pPr>
      <w:r>
        <w:rPr>
          <w:rFonts w:cs="Arial" w:ascii="Arial" w:hAnsi="Arial"/>
          <w:bCs/>
          <w:sz w:val="22"/>
          <w:szCs w:val="22"/>
          <w:lang w:val="pt-BR"/>
        </w:rPr>
        <w:t>Os dados foram submetidos a ANOVA com medidas repetidas no tempo, utilizando o procedimento MIXED do software estatístico SAS</w:t>
      </w:r>
      <w:r>
        <w:rPr>
          <w:rFonts w:cs="Arial" w:ascii="Arial" w:hAnsi="Arial"/>
          <w:bCs/>
          <w:sz w:val="22"/>
          <w:szCs w:val="22"/>
          <w:vertAlign w:val="superscript"/>
          <w:lang w:val="pt-BR"/>
        </w:rPr>
        <w:t>®</w:t>
      </w:r>
      <w:r>
        <w:rPr>
          <w:rFonts w:cs="Arial" w:ascii="Arial" w:hAnsi="Arial"/>
          <w:bCs/>
          <w:sz w:val="22"/>
          <w:szCs w:val="22"/>
          <w:lang w:val="pt-BR"/>
        </w:rPr>
        <w:t>. Os dados foram previamente testados quanto à normalidade dos resíduos, utilizando o teste de Kolmogorov-Smirnov. As diferenças estatísticas foram definidas ao nível de 5%. O modelo estatístico incluiu os efeitos fixos dos tratamentos (TC e TL), dos experimentos (primavera e verão), dos períodos entre os experimentos (1 e 2), das interações entre as variáveis e do erro experimental.</w:t>
      </w:r>
    </w:p>
    <w:p>
      <w:pPr>
        <w:pStyle w:val="Normal"/>
        <w:ind w:firstLine="709"/>
        <w:jc w:val="both"/>
        <w:rPr>
          <w:rFonts w:ascii="Arial" w:hAnsi="Arial" w:eastAsia="Arial" w:cs="Arial"/>
          <w:color w:val="000000"/>
          <w:sz w:val="22"/>
          <w:szCs w:val="22"/>
          <w:u w:val="none" w:color="000000"/>
          <w:lang w:val="pt-BR"/>
        </w:rPr>
      </w:pPr>
      <w:r>
        <w:rPr>
          <w:rFonts w:eastAsia="Arial" w:cs="Arial" w:ascii="Arial" w:hAnsi="Arial"/>
          <w:color w:val="000000"/>
          <w:sz w:val="22"/>
          <w:szCs w:val="22"/>
          <w:u w:val="none" w:color="000000"/>
          <w:lang w:val="pt-BR"/>
        </w:rPr>
      </w:r>
    </w:p>
    <w:p>
      <w:pPr>
        <w:pStyle w:val="Normal"/>
        <w:jc w:val="both"/>
        <w:rPr>
          <w:rFonts w:ascii="Arial" w:hAnsi="Arial" w:cs="Arial"/>
          <w:color w:val="000000"/>
          <w:sz w:val="22"/>
          <w:szCs w:val="22"/>
          <w:u w:val="none" w:color="000000"/>
          <w:lang w:val="pt-BR"/>
        </w:rPr>
      </w:pPr>
      <w:r>
        <w:rPr>
          <w:rFonts w:cs="Arial" w:ascii="Arial" w:hAnsi="Arial"/>
          <w:b/>
          <w:bCs/>
          <w:color w:val="000000"/>
          <w:sz w:val="22"/>
          <w:szCs w:val="22"/>
          <w:u w:val="none" w:color="000000"/>
          <w:lang w:val="pt-BR"/>
        </w:rPr>
        <w:t xml:space="preserve">Resultados e discussões: </w:t>
      </w:r>
      <w:r>
        <w:rPr>
          <w:rFonts w:cs="Arial" w:ascii="Arial" w:hAnsi="Arial"/>
          <w:color w:val="000000"/>
          <w:sz w:val="22"/>
          <w:szCs w:val="22"/>
          <w:u w:val="none" w:color="000000"/>
          <w:lang w:val="pt-BR"/>
        </w:rPr>
        <w:t>O THI médio na primavera e verão foi de 60,9 e 65,3, sendo considerado ausência de estresse por calor, no entanto o THI máximo no verão foi de 77,4 sendo considerado situação de alerta. Na primavera o THI máximo foi de 69,9 ainda considerado como ausência de estresse por calor (KAPPES et al. 2022). Houve interação entre tratamento e experimento para leite corrigido para energia e produção de proteína, e tendência para produção de leite e acidez titulável (Tabela 1). Vacas suplementadas com OL produziram 1,5 kg de leite/vaca/dia a mais no verão. Houve redução no teor de gordura, proteína e caseína com a suplementação de OL (P &lt;0,01). O teor de lactose não diferiu entre os tratamentos. A acidez titulável aumentou 0,5ºD em vacas suplementadas com LO. A estabilidade do leite foi 2,2% maior para vacas do grupo TL. O teor de cloreto foi 0,01% menor para vacas suplementadas com OL.</w:t>
      </w:r>
    </w:p>
    <w:p>
      <w:pPr>
        <w:pStyle w:val="Normal"/>
        <w:ind w:firstLine="709"/>
        <w:jc w:val="both"/>
        <w:rPr>
          <w:rFonts w:ascii="Arial" w:hAnsi="Arial" w:cs="Arial"/>
          <w:b/>
          <w:b/>
          <w:sz w:val="22"/>
          <w:szCs w:val="22"/>
          <w:lang w:val="pt-BR"/>
        </w:rPr>
      </w:pPr>
      <w:r>
        <w:rPr>
          <w:rFonts w:cs="Arial" w:ascii="Arial" w:hAnsi="Arial"/>
          <w:b/>
          <w:sz w:val="22"/>
          <w:szCs w:val="22"/>
          <w:lang w:val="pt-BR"/>
        </w:rPr>
      </w:r>
    </w:p>
    <w:p>
      <w:pPr>
        <w:pStyle w:val="Normal"/>
        <w:jc w:val="both"/>
        <w:rPr>
          <w:rFonts w:ascii="Arial" w:hAnsi="Arial" w:cs="Arial"/>
          <w:b/>
          <w:b/>
          <w:sz w:val="20"/>
          <w:szCs w:val="20"/>
          <w:lang w:val="pt-BR"/>
        </w:rPr>
      </w:pPr>
      <w:r>
        <w:rPr>
          <w:rFonts w:cs="Arial" w:ascii="Arial" w:hAnsi="Arial"/>
          <w:b/>
          <w:sz w:val="20"/>
          <w:szCs w:val="20"/>
          <w:lang w:val="pt-BR"/>
        </w:rPr>
        <w:t xml:space="preserve">Tabela 1. </w:t>
      </w:r>
      <w:r>
        <w:rPr>
          <w:rFonts w:cs="Arial" w:ascii="Arial" w:hAnsi="Arial"/>
          <w:b/>
          <w:iCs/>
          <w:sz w:val="20"/>
          <w:szCs w:val="20"/>
          <w:lang w:val="pt-BR"/>
        </w:rPr>
        <w:t>Médias dos mínimos quadrados e valores de P da análise de experimento combinado, experimento I (primavera) e II (verão) para produção e características físico-químicas do leite.</w:t>
      </w:r>
    </w:p>
    <w:tbl>
      <w:tblPr>
        <w:tblStyle w:val="Tabelacomgrade"/>
        <w:tblW w:w="10800" w:type="dxa"/>
        <w:jc w:val="center"/>
        <w:tblInd w:w="0" w:type="dxa"/>
        <w:tblLayout w:type="fixed"/>
        <w:tblCellMar>
          <w:top w:w="0" w:type="dxa"/>
          <w:left w:w="0" w:type="dxa"/>
          <w:bottom w:w="0" w:type="dxa"/>
          <w:right w:w="0" w:type="dxa"/>
        </w:tblCellMar>
        <w:tblLook w:firstRow="1" w:noVBand="1" w:lastRow="0" w:firstColumn="1" w:lastColumn="0" w:noHBand="0" w:val="04a0"/>
      </w:tblPr>
      <w:tblGrid>
        <w:gridCol w:w="1979"/>
        <w:gridCol w:w="991"/>
        <w:gridCol w:w="899"/>
        <w:gridCol w:w="901"/>
        <w:gridCol w:w="900"/>
        <w:gridCol w:w="899"/>
        <w:gridCol w:w="901"/>
        <w:gridCol w:w="989"/>
        <w:gridCol w:w="991"/>
        <w:gridCol w:w="1349"/>
      </w:tblGrid>
      <w:tr>
        <w:trPr>
          <w:trHeight w:val="331" w:hRule="atLeast"/>
        </w:trPr>
        <w:tc>
          <w:tcPr>
            <w:tcW w:w="1979" w:type="dxa"/>
            <w:vMerge w:val="restart"/>
            <w:tcBorders>
              <w:left w:val="nil"/>
              <w:right w:val="nil"/>
            </w:tcBorders>
            <w:vAlign w:val="center"/>
          </w:tcPr>
          <w:p>
            <w:pPr>
              <w:pStyle w:val="Normal"/>
              <w:widowControl/>
              <w:spacing w:before="0" w:after="0"/>
              <w:jc w:val="left"/>
              <w:rPr>
                <w:rFonts w:ascii="Arial" w:hAnsi="Arial" w:eastAsia="Calibri" w:cs="Arial"/>
                <w:b/>
                <w:b/>
                <w:sz w:val="20"/>
                <w:szCs w:val="20"/>
                <w:lang w:eastAsia="de-DE"/>
              </w:rPr>
            </w:pPr>
            <w:r>
              <w:rPr>
                <w:rFonts w:eastAsia="Calibri" w:cs="Arial" w:ascii="Arial" w:hAnsi="Arial"/>
                <w:b/>
                <w:kern w:val="0"/>
                <w:sz w:val="20"/>
                <w:szCs w:val="20"/>
                <w:lang w:val="pt-BR" w:eastAsia="de-DE" w:bidi="ar-SA"/>
              </w:rPr>
              <w:t xml:space="preserve">Variáveis  </w:t>
            </w:r>
          </w:p>
        </w:tc>
        <w:tc>
          <w:tcPr>
            <w:tcW w:w="1890" w:type="dxa"/>
            <w:gridSpan w:val="2"/>
            <w:tcBorders>
              <w:left w:val="nil"/>
              <w:right w:val="nil"/>
            </w:tcBorders>
          </w:tcPr>
          <w:p>
            <w:pPr>
              <w:pStyle w:val="Normal"/>
              <w:widowControl/>
              <w:spacing w:lineRule="auto" w:line="276" w:before="0" w:after="0"/>
              <w:jc w:val="center"/>
              <w:rPr>
                <w:rFonts w:ascii="Arial" w:hAnsi="Arial" w:cs="Arial"/>
                <w:b/>
                <w:b/>
                <w:sz w:val="20"/>
                <w:szCs w:val="20"/>
                <w:vertAlign w:val="superscript"/>
              </w:rPr>
            </w:pPr>
            <w:r>
              <w:rPr>
                <w:rFonts w:eastAsia="Helvetica Neue" w:cs="Arial" w:ascii="Arial" w:hAnsi="Arial"/>
                <w:b/>
                <w:kern w:val="0"/>
                <w:sz w:val="20"/>
                <w:szCs w:val="20"/>
                <w:lang w:val="pt-BR" w:eastAsia="en-US" w:bidi="ar-SA"/>
              </w:rPr>
              <w:t>Análise conjunta</w:t>
            </w:r>
          </w:p>
        </w:tc>
        <w:tc>
          <w:tcPr>
            <w:tcW w:w="1801" w:type="dxa"/>
            <w:gridSpan w:val="2"/>
            <w:tcBorders>
              <w:left w:val="nil"/>
              <w:right w:val="nil"/>
            </w:tcBorders>
          </w:tcPr>
          <w:p>
            <w:pPr>
              <w:pStyle w:val="Normal"/>
              <w:widowControl/>
              <w:spacing w:lineRule="auto" w:line="276" w:before="0" w:after="0"/>
              <w:jc w:val="center"/>
              <w:rPr>
                <w:rFonts w:ascii="Arial" w:hAnsi="Arial" w:cs="Arial"/>
                <w:b/>
                <w:b/>
                <w:sz w:val="20"/>
                <w:szCs w:val="20"/>
              </w:rPr>
            </w:pPr>
            <w:r>
              <w:rPr>
                <w:rFonts w:eastAsia="Helvetica Neue" w:cs="Arial" w:ascii="Arial" w:hAnsi="Arial"/>
                <w:b/>
                <w:kern w:val="0"/>
                <w:sz w:val="20"/>
                <w:szCs w:val="20"/>
                <w:lang w:val="pt-BR" w:eastAsia="en-US" w:bidi="ar-SA"/>
              </w:rPr>
              <w:t>Exp I</w:t>
            </w:r>
          </w:p>
        </w:tc>
        <w:tc>
          <w:tcPr>
            <w:tcW w:w="1800" w:type="dxa"/>
            <w:gridSpan w:val="2"/>
            <w:tcBorders>
              <w:left w:val="nil"/>
              <w:right w:val="nil"/>
            </w:tcBorders>
          </w:tcPr>
          <w:p>
            <w:pPr>
              <w:pStyle w:val="Normal"/>
              <w:widowControl/>
              <w:spacing w:lineRule="auto" w:line="276" w:before="0" w:after="0"/>
              <w:jc w:val="center"/>
              <w:rPr>
                <w:rFonts w:ascii="Arial" w:hAnsi="Arial" w:cs="Arial"/>
                <w:b/>
                <w:b/>
                <w:sz w:val="20"/>
                <w:szCs w:val="20"/>
              </w:rPr>
            </w:pPr>
            <w:r>
              <w:rPr>
                <w:rFonts w:eastAsia="Helvetica Neue" w:cs="Arial" w:ascii="Arial" w:hAnsi="Arial"/>
                <w:b/>
                <w:kern w:val="0"/>
                <w:sz w:val="20"/>
                <w:szCs w:val="20"/>
                <w:lang w:val="pt-BR" w:eastAsia="en-US" w:bidi="ar-SA"/>
              </w:rPr>
              <w:t>Exp II</w:t>
            </w:r>
          </w:p>
        </w:tc>
        <w:tc>
          <w:tcPr>
            <w:tcW w:w="3329" w:type="dxa"/>
            <w:gridSpan w:val="3"/>
            <w:tcBorders>
              <w:left w:val="nil"/>
              <w:right w:val="nil"/>
            </w:tcBorders>
          </w:tcPr>
          <w:p>
            <w:pPr>
              <w:pStyle w:val="Normal"/>
              <w:widowControl/>
              <w:spacing w:lineRule="auto" w:line="276" w:before="0" w:after="0"/>
              <w:jc w:val="center"/>
              <w:rPr>
                <w:rFonts w:ascii="Arial" w:hAnsi="Arial" w:cs="Arial"/>
                <w:b/>
                <w:b/>
                <w:sz w:val="20"/>
                <w:szCs w:val="20"/>
              </w:rPr>
            </w:pPr>
            <w:r>
              <w:rPr>
                <w:rFonts w:eastAsia="Helvetica Neue" w:cs="Arial" w:ascii="Arial" w:hAnsi="Arial"/>
                <w:b/>
                <w:kern w:val="0"/>
                <w:sz w:val="20"/>
                <w:szCs w:val="20"/>
                <w:lang w:val="pt-BR" w:eastAsia="en-US" w:bidi="ar-SA"/>
              </w:rPr>
              <w:t>Valor de P</w:t>
            </w:r>
          </w:p>
        </w:tc>
      </w:tr>
      <w:tr>
        <w:trPr>
          <w:trHeight w:val="331" w:hRule="atLeast"/>
        </w:trPr>
        <w:tc>
          <w:tcPr>
            <w:tcW w:w="1979" w:type="dxa"/>
            <w:vMerge w:val="continue"/>
            <w:tcBorders>
              <w:top w:val="nil"/>
              <w:left w:val="nil"/>
              <w:right w:val="nil"/>
            </w:tcBorders>
            <w:vAlign w:val="center"/>
          </w:tcPr>
          <w:p>
            <w:pPr>
              <w:pStyle w:val="Normal"/>
              <w:widowControl/>
              <w:spacing w:before="0" w:after="0"/>
              <w:jc w:val="left"/>
              <w:rPr>
                <w:rFonts w:ascii="Arial" w:hAnsi="Arial" w:eastAsia="Calibri" w:cs="Arial"/>
                <w:sz w:val="20"/>
                <w:szCs w:val="20"/>
                <w:lang w:eastAsia="de-DE"/>
              </w:rPr>
            </w:pPr>
            <w:r>
              <w:rPr>
                <w:rFonts w:eastAsia="Calibri" w:cs="Arial" w:ascii="Arial" w:hAnsi="Arial"/>
                <w:kern w:val="0"/>
                <w:sz w:val="20"/>
                <w:szCs w:val="20"/>
                <w:lang w:val="pt-BR" w:eastAsia="en-US" w:bidi="ar-SA"/>
              </w:rPr>
            </w:r>
          </w:p>
        </w:tc>
        <w:tc>
          <w:tcPr>
            <w:tcW w:w="991" w:type="dxa"/>
            <w:tcBorders>
              <w:left w:val="nil"/>
              <w:right w:val="nil"/>
            </w:tcBorders>
          </w:tcPr>
          <w:p>
            <w:pPr>
              <w:pStyle w:val="Normal"/>
              <w:widowControl/>
              <w:spacing w:lineRule="auto" w:line="276" w:before="0" w:after="0"/>
              <w:jc w:val="center"/>
              <w:rPr>
                <w:rFonts w:ascii="Arial" w:hAnsi="Arial" w:cs="Arial"/>
                <w:b/>
                <w:b/>
                <w:bCs/>
                <w:sz w:val="20"/>
                <w:szCs w:val="20"/>
                <w:vertAlign w:val="superscript"/>
              </w:rPr>
            </w:pPr>
            <w:r>
              <w:rPr>
                <w:rFonts w:eastAsia="Helvetica Neue" w:cs="Arial" w:ascii="Arial" w:hAnsi="Arial"/>
                <w:b/>
                <w:bCs/>
                <w:kern w:val="0"/>
                <w:sz w:val="20"/>
                <w:szCs w:val="20"/>
                <w:lang w:val="pt-BR" w:eastAsia="en-US" w:bidi="ar-SA"/>
              </w:rPr>
              <w:t>TC</w:t>
            </w:r>
          </w:p>
        </w:tc>
        <w:tc>
          <w:tcPr>
            <w:tcW w:w="899" w:type="dxa"/>
            <w:tcBorders>
              <w:left w:val="nil"/>
              <w:right w:val="nil"/>
            </w:tcBorders>
          </w:tcPr>
          <w:p>
            <w:pPr>
              <w:pStyle w:val="Normal"/>
              <w:widowControl/>
              <w:spacing w:lineRule="auto" w:line="276" w:before="0" w:after="0"/>
              <w:jc w:val="center"/>
              <w:rPr>
                <w:rFonts w:ascii="Arial" w:hAnsi="Arial" w:cs="Arial"/>
                <w:b/>
                <w:b/>
                <w:bCs/>
                <w:sz w:val="20"/>
                <w:szCs w:val="20"/>
                <w:vertAlign w:val="superscript"/>
              </w:rPr>
            </w:pPr>
            <w:r>
              <w:rPr>
                <w:rFonts w:eastAsia="Helvetica Neue" w:cs="Arial" w:ascii="Arial" w:hAnsi="Arial"/>
                <w:b/>
                <w:bCs/>
                <w:kern w:val="0"/>
                <w:sz w:val="20"/>
                <w:szCs w:val="20"/>
                <w:lang w:val="pt-BR" w:eastAsia="en-US" w:bidi="ar-SA"/>
              </w:rPr>
              <w:t>TL</w:t>
            </w:r>
          </w:p>
        </w:tc>
        <w:tc>
          <w:tcPr>
            <w:tcW w:w="901" w:type="dxa"/>
            <w:tcBorders>
              <w:left w:val="nil"/>
              <w:right w:val="nil"/>
            </w:tcBorders>
          </w:tcPr>
          <w:p>
            <w:pPr>
              <w:pStyle w:val="Normal"/>
              <w:widowControl/>
              <w:spacing w:lineRule="auto" w:line="276" w:before="0" w:after="0"/>
              <w:jc w:val="center"/>
              <w:rPr>
                <w:rFonts w:ascii="Arial" w:hAnsi="Arial" w:cs="Arial"/>
                <w:b/>
                <w:b/>
                <w:bCs/>
                <w:sz w:val="20"/>
                <w:szCs w:val="20"/>
              </w:rPr>
            </w:pPr>
            <w:r>
              <w:rPr>
                <w:rFonts w:eastAsia="Helvetica Neue" w:cs="Arial" w:ascii="Arial" w:hAnsi="Arial"/>
                <w:b/>
                <w:bCs/>
                <w:kern w:val="0"/>
                <w:sz w:val="20"/>
                <w:szCs w:val="20"/>
                <w:lang w:val="pt-BR" w:eastAsia="en-US" w:bidi="ar-SA"/>
              </w:rPr>
              <w:t>TC</w:t>
            </w:r>
          </w:p>
        </w:tc>
        <w:tc>
          <w:tcPr>
            <w:tcW w:w="900" w:type="dxa"/>
            <w:tcBorders>
              <w:left w:val="nil"/>
              <w:right w:val="nil"/>
            </w:tcBorders>
          </w:tcPr>
          <w:p>
            <w:pPr>
              <w:pStyle w:val="Normal"/>
              <w:widowControl/>
              <w:spacing w:lineRule="auto" w:line="276" w:before="0" w:after="0"/>
              <w:jc w:val="center"/>
              <w:rPr>
                <w:rFonts w:ascii="Arial" w:hAnsi="Arial" w:cs="Arial"/>
                <w:b/>
                <w:b/>
                <w:bCs/>
                <w:sz w:val="20"/>
                <w:szCs w:val="20"/>
              </w:rPr>
            </w:pPr>
            <w:r>
              <w:rPr>
                <w:rFonts w:eastAsia="Helvetica Neue" w:cs="Arial" w:ascii="Arial" w:hAnsi="Arial"/>
                <w:b/>
                <w:bCs/>
                <w:kern w:val="0"/>
                <w:sz w:val="20"/>
                <w:szCs w:val="20"/>
                <w:lang w:val="pt-BR" w:eastAsia="en-US" w:bidi="ar-SA"/>
              </w:rPr>
              <w:t>TL</w:t>
            </w:r>
          </w:p>
        </w:tc>
        <w:tc>
          <w:tcPr>
            <w:tcW w:w="899" w:type="dxa"/>
            <w:tcBorders>
              <w:left w:val="nil"/>
              <w:right w:val="nil"/>
            </w:tcBorders>
          </w:tcPr>
          <w:p>
            <w:pPr>
              <w:pStyle w:val="Normal"/>
              <w:widowControl/>
              <w:spacing w:lineRule="auto" w:line="276" w:before="0" w:after="0"/>
              <w:jc w:val="center"/>
              <w:rPr>
                <w:rFonts w:ascii="Arial" w:hAnsi="Arial" w:cs="Arial"/>
                <w:b/>
                <w:b/>
                <w:bCs/>
                <w:sz w:val="20"/>
                <w:szCs w:val="20"/>
              </w:rPr>
            </w:pPr>
            <w:r>
              <w:rPr>
                <w:rFonts w:eastAsia="Helvetica Neue" w:cs="Arial" w:ascii="Arial" w:hAnsi="Arial"/>
                <w:b/>
                <w:bCs/>
                <w:kern w:val="0"/>
                <w:sz w:val="20"/>
                <w:szCs w:val="20"/>
                <w:lang w:val="pt-BR" w:eastAsia="en-US" w:bidi="ar-SA"/>
              </w:rPr>
              <w:t>TC</w:t>
            </w:r>
          </w:p>
        </w:tc>
        <w:tc>
          <w:tcPr>
            <w:tcW w:w="901" w:type="dxa"/>
            <w:tcBorders>
              <w:left w:val="nil"/>
              <w:right w:val="nil"/>
            </w:tcBorders>
          </w:tcPr>
          <w:p>
            <w:pPr>
              <w:pStyle w:val="Normal"/>
              <w:widowControl/>
              <w:spacing w:lineRule="auto" w:line="276" w:before="0" w:after="0"/>
              <w:jc w:val="center"/>
              <w:rPr>
                <w:rFonts w:ascii="Arial" w:hAnsi="Arial" w:cs="Arial"/>
                <w:b/>
                <w:b/>
                <w:bCs/>
                <w:sz w:val="20"/>
                <w:szCs w:val="20"/>
              </w:rPr>
            </w:pPr>
            <w:r>
              <w:rPr>
                <w:rFonts w:eastAsia="Helvetica Neue" w:cs="Arial" w:ascii="Arial" w:hAnsi="Arial"/>
                <w:b/>
                <w:bCs/>
                <w:kern w:val="0"/>
                <w:sz w:val="20"/>
                <w:szCs w:val="20"/>
                <w:lang w:val="pt-BR" w:eastAsia="en-US" w:bidi="ar-SA"/>
              </w:rPr>
              <w:t>TL</w:t>
            </w:r>
          </w:p>
        </w:tc>
        <w:tc>
          <w:tcPr>
            <w:tcW w:w="989" w:type="dxa"/>
            <w:tcBorders>
              <w:left w:val="nil"/>
              <w:right w:val="nil"/>
            </w:tcBorders>
          </w:tcPr>
          <w:p>
            <w:pPr>
              <w:pStyle w:val="Normal"/>
              <w:widowControl/>
              <w:spacing w:lineRule="auto" w:line="276" w:before="0" w:after="0"/>
              <w:jc w:val="center"/>
              <w:rPr>
                <w:rFonts w:ascii="Arial" w:hAnsi="Arial" w:cs="Arial"/>
                <w:b/>
                <w:b/>
                <w:bCs/>
                <w:sz w:val="20"/>
                <w:szCs w:val="20"/>
                <w:vertAlign w:val="superscript"/>
              </w:rPr>
            </w:pPr>
            <w:r>
              <w:rPr>
                <w:rFonts w:eastAsia="Helvetica Neue" w:cs="Arial" w:ascii="Arial" w:hAnsi="Arial"/>
                <w:b/>
                <w:bCs/>
                <w:kern w:val="0"/>
                <w:sz w:val="20"/>
                <w:szCs w:val="20"/>
                <w:lang w:val="pt-BR" w:eastAsia="en-US" w:bidi="ar-SA"/>
              </w:rPr>
              <w:t>Trat.</w:t>
            </w:r>
          </w:p>
        </w:tc>
        <w:tc>
          <w:tcPr>
            <w:tcW w:w="991" w:type="dxa"/>
            <w:tcBorders>
              <w:left w:val="nil"/>
              <w:right w:val="nil"/>
            </w:tcBorders>
          </w:tcPr>
          <w:p>
            <w:pPr>
              <w:pStyle w:val="Normal"/>
              <w:widowControl/>
              <w:spacing w:lineRule="auto" w:line="276" w:before="0" w:after="0"/>
              <w:jc w:val="center"/>
              <w:rPr>
                <w:rFonts w:ascii="Arial" w:hAnsi="Arial" w:cs="Arial"/>
                <w:b/>
                <w:b/>
                <w:bCs/>
                <w:sz w:val="20"/>
                <w:szCs w:val="20"/>
              </w:rPr>
            </w:pPr>
            <w:r>
              <w:rPr>
                <w:rFonts w:eastAsia="Helvetica Neue" w:cs="Arial" w:ascii="Arial" w:hAnsi="Arial"/>
                <w:b/>
                <w:bCs/>
                <w:kern w:val="0"/>
                <w:sz w:val="20"/>
                <w:szCs w:val="20"/>
                <w:lang w:val="pt-BR" w:eastAsia="en-US" w:bidi="ar-SA"/>
              </w:rPr>
              <w:t>Exp.</w:t>
            </w:r>
          </w:p>
        </w:tc>
        <w:tc>
          <w:tcPr>
            <w:tcW w:w="1349" w:type="dxa"/>
            <w:tcBorders>
              <w:left w:val="nil"/>
              <w:right w:val="nil"/>
            </w:tcBorders>
          </w:tcPr>
          <w:p>
            <w:pPr>
              <w:pStyle w:val="Normal"/>
              <w:widowControl/>
              <w:spacing w:lineRule="auto" w:line="276" w:before="0" w:after="0"/>
              <w:jc w:val="center"/>
              <w:rPr>
                <w:rFonts w:ascii="Arial" w:hAnsi="Arial" w:cs="Arial"/>
                <w:b/>
                <w:b/>
                <w:bCs/>
                <w:sz w:val="20"/>
                <w:szCs w:val="20"/>
                <w:vertAlign w:val="superscript"/>
              </w:rPr>
            </w:pPr>
            <w:r>
              <w:rPr>
                <w:rFonts w:eastAsia="Helvetica Neue" w:cs="Arial" w:ascii="Arial" w:hAnsi="Arial"/>
                <w:b/>
                <w:bCs/>
                <w:kern w:val="0"/>
                <w:sz w:val="20"/>
                <w:szCs w:val="20"/>
                <w:lang w:val="pt-BR" w:eastAsia="en-US" w:bidi="ar-SA"/>
              </w:rPr>
              <w:t>Trat.*Exp.</w:t>
            </w:r>
            <w:r>
              <w:rPr>
                <w:rFonts w:eastAsia="Helvetica Neue" w:cs="Arial" w:ascii="Arial" w:hAnsi="Arial"/>
                <w:kern w:val="0"/>
                <w:sz w:val="20"/>
                <w:szCs w:val="20"/>
                <w:vertAlign w:val="superscript"/>
                <w:lang w:val="pt-BR" w:eastAsia="en-US" w:bidi="ar-SA"/>
              </w:rPr>
              <w:t>2</w:t>
            </w:r>
          </w:p>
        </w:tc>
      </w:tr>
      <w:tr>
        <w:trPr>
          <w:trHeight w:val="331" w:hRule="atLeast"/>
        </w:trPr>
        <w:tc>
          <w:tcPr>
            <w:tcW w:w="1979" w:type="dxa"/>
            <w:tcBorders>
              <w:left w:val="nil"/>
              <w:bottom w:val="nil"/>
              <w:right w:val="nil"/>
            </w:tcBorders>
            <w:vAlign w:val="center"/>
          </w:tcPr>
          <w:p>
            <w:pPr>
              <w:pStyle w:val="Normal"/>
              <w:widowControl/>
              <w:spacing w:before="0" w:after="0"/>
              <w:jc w:val="left"/>
              <w:rPr>
                <w:rFonts w:ascii="Arial" w:hAnsi="Arial" w:cs="Arial"/>
                <w:sz w:val="20"/>
                <w:szCs w:val="20"/>
                <w:lang w:eastAsia="de-DE"/>
              </w:rPr>
            </w:pPr>
            <w:r>
              <w:rPr>
                <w:rFonts w:eastAsia="Calibri" w:cs="Arial" w:ascii="Arial" w:hAnsi="Arial"/>
                <w:kern w:val="0"/>
                <w:sz w:val="20"/>
                <w:szCs w:val="20"/>
                <w:lang w:val="pt-BR" w:eastAsia="de-DE" w:bidi="ar-SA"/>
              </w:rPr>
              <w:t>Leite (L/dia)</w:t>
            </w:r>
          </w:p>
        </w:tc>
        <w:tc>
          <w:tcPr>
            <w:tcW w:w="991"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20,2</w:t>
            </w:r>
          </w:p>
        </w:tc>
        <w:tc>
          <w:tcPr>
            <w:tcW w:w="899"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20,7</w:t>
            </w:r>
          </w:p>
        </w:tc>
        <w:tc>
          <w:tcPr>
            <w:tcW w:w="901"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23,3</w:t>
            </w:r>
          </w:p>
        </w:tc>
        <w:tc>
          <w:tcPr>
            <w:tcW w:w="900"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22,8</w:t>
            </w:r>
          </w:p>
        </w:tc>
        <w:tc>
          <w:tcPr>
            <w:tcW w:w="899"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17,2</w:t>
            </w:r>
          </w:p>
        </w:tc>
        <w:tc>
          <w:tcPr>
            <w:tcW w:w="901"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18,7</w:t>
            </w:r>
          </w:p>
        </w:tc>
        <w:tc>
          <w:tcPr>
            <w:tcW w:w="989"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0,39</w:t>
            </w:r>
          </w:p>
        </w:tc>
        <w:tc>
          <w:tcPr>
            <w:tcW w:w="991"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1349" w:type="dxa"/>
            <w:tcBorders>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0,06</w:t>
            </w:r>
          </w:p>
        </w:tc>
      </w:tr>
      <w:tr>
        <w:trPr>
          <w:trHeight w:val="310" w:hRule="atLeast"/>
        </w:trPr>
        <w:tc>
          <w:tcPr>
            <w:tcW w:w="1979" w:type="dxa"/>
            <w:tcBorders>
              <w:top w:val="nil"/>
              <w:left w:val="nil"/>
              <w:bottom w:val="nil"/>
              <w:right w:val="nil"/>
            </w:tcBorders>
            <w:vAlign w:val="center"/>
          </w:tcPr>
          <w:p>
            <w:pPr>
              <w:pStyle w:val="Normal"/>
              <w:widowControl/>
              <w:spacing w:before="0" w:after="0"/>
              <w:jc w:val="left"/>
              <w:rPr>
                <w:rFonts w:ascii="Arial" w:hAnsi="Arial" w:cs="Arial"/>
                <w:sz w:val="20"/>
                <w:szCs w:val="20"/>
                <w:vertAlign w:val="superscript"/>
                <w:lang w:eastAsia="de-DE"/>
              </w:rPr>
            </w:pPr>
            <w:r>
              <w:rPr>
                <w:rFonts w:eastAsia="Calibri" w:cs="Arial" w:ascii="Arial" w:hAnsi="Arial"/>
                <w:kern w:val="0"/>
                <w:sz w:val="20"/>
                <w:szCs w:val="20"/>
                <w:lang w:val="pt-BR" w:eastAsia="de-DE" w:bidi="ar-SA"/>
              </w:rPr>
              <w:t>LCE(L/dia)</w:t>
            </w:r>
            <w:r>
              <w:rPr>
                <w:rFonts w:eastAsia="Calibri" w:cs="Arial" w:ascii="Arial" w:hAnsi="Arial"/>
                <w:kern w:val="0"/>
                <w:sz w:val="20"/>
                <w:szCs w:val="20"/>
                <w:vertAlign w:val="superscript"/>
                <w:lang w:val="pt-BR" w:eastAsia="de-DE" w:bidi="ar-SA"/>
              </w:rPr>
              <w:t>1</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21,7</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21,9</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24,6</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23,7</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18,7</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20,1</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0,73</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0,04</w:t>
            </w:r>
          </w:p>
        </w:tc>
      </w:tr>
      <w:tr>
        <w:trPr>
          <w:trHeight w:val="310"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Calibri" w:cs="Arial" w:ascii="Arial" w:hAnsi="Arial"/>
                <w:kern w:val="0"/>
                <w:sz w:val="20"/>
                <w:szCs w:val="20"/>
                <w:lang w:val="pt-BR" w:eastAsia="de-DE" w:bidi="ar-SA"/>
              </w:rPr>
              <w:t>Gordura (%)</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3,9</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3,7</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3,9</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3,8</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3,9</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3,7</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0,007</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0,93</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0,22</w:t>
            </w:r>
          </w:p>
        </w:tc>
      </w:tr>
      <w:tr>
        <w:trPr>
          <w:trHeight w:val="331"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Calibri" w:cs="Arial" w:ascii="Arial" w:hAnsi="Arial"/>
                <w:kern w:val="0"/>
                <w:sz w:val="20"/>
                <w:szCs w:val="20"/>
                <w:lang w:val="pt-BR" w:eastAsia="de-DE" w:bidi="ar-SA"/>
              </w:rPr>
              <w:t>Gordura (g/dia)</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781</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781</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891</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860</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672</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703</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0,98</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0,14</w:t>
            </w:r>
          </w:p>
        </w:tc>
      </w:tr>
      <w:tr>
        <w:trPr>
          <w:trHeight w:val="310"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Calibri" w:cs="Arial" w:ascii="Arial" w:hAnsi="Arial"/>
                <w:kern w:val="0"/>
                <w:sz w:val="20"/>
                <w:szCs w:val="20"/>
                <w:lang w:val="pt-BR" w:eastAsia="de-DE" w:bidi="ar-SA"/>
              </w:rPr>
              <w:t>Proteína (%)</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3,2</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3,2</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3,1</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3,0</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3,4</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3,3</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0,01</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0,17</w:t>
            </w:r>
          </w:p>
        </w:tc>
      </w:tr>
      <w:tr>
        <w:trPr>
          <w:trHeight w:val="310"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Calibri" w:cs="Arial" w:ascii="Arial" w:hAnsi="Arial"/>
                <w:kern w:val="0"/>
                <w:sz w:val="20"/>
                <w:szCs w:val="20"/>
                <w:lang w:val="pt-BR" w:eastAsia="de-DE" w:bidi="ar-SA"/>
              </w:rPr>
              <w:t>Proteína (g/dia)</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653</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657</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728</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688</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578</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626</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0,83</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0,01</w:t>
            </w:r>
          </w:p>
        </w:tc>
      </w:tr>
      <w:tr>
        <w:trPr>
          <w:trHeight w:val="331"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Calibri" w:cs="Arial" w:ascii="Arial" w:hAnsi="Arial"/>
                <w:kern w:val="0"/>
                <w:sz w:val="20"/>
                <w:szCs w:val="20"/>
                <w:lang w:val="pt-BR" w:eastAsia="de-DE" w:bidi="ar-SA"/>
              </w:rPr>
              <w:t>Caseína (%)</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2,7</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2,6</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2,7</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2,5</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2,7</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2,6</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0,20</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0,52</w:t>
            </w:r>
          </w:p>
        </w:tc>
      </w:tr>
      <w:tr>
        <w:trPr>
          <w:trHeight w:val="310"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Calibri" w:cs="Arial" w:ascii="Arial" w:hAnsi="Arial"/>
                <w:kern w:val="0"/>
                <w:sz w:val="20"/>
                <w:szCs w:val="20"/>
                <w:lang w:val="pt-BR" w:eastAsia="de-DE" w:bidi="ar-SA"/>
              </w:rPr>
              <w:t>Lactose (%)</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4,4</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4,4</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4,5</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4,5</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4,4</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4,4</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0,83</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0,90</w:t>
            </w:r>
          </w:p>
        </w:tc>
      </w:tr>
      <w:tr>
        <w:trPr>
          <w:trHeight w:val="331"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Helvetica Neue" w:cs="Arial" w:ascii="Arial" w:hAnsi="Arial"/>
                <w:kern w:val="0"/>
                <w:sz w:val="20"/>
                <w:szCs w:val="20"/>
                <w:lang w:val="pt-BR" w:eastAsia="de-DE" w:bidi="ar-SA"/>
              </w:rPr>
              <w:t>Sólidos totais (%)</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12,8</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12,7</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12,8</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12,5</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12.8</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12,8</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0,16</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0,34</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0,30</w:t>
            </w:r>
          </w:p>
        </w:tc>
      </w:tr>
      <w:tr>
        <w:trPr>
          <w:trHeight w:val="310"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Helvetica Neue" w:cs="Arial" w:ascii="Arial" w:hAnsi="Arial"/>
                <w:kern w:val="0"/>
                <w:sz w:val="20"/>
                <w:szCs w:val="20"/>
                <w:lang w:val="pt-BR" w:eastAsia="de-DE" w:bidi="ar-SA"/>
              </w:rPr>
              <w:t>Acidez titulável (°D)</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17,0</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17,5</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17,2</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17,3</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16,9</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17,7</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0,03</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0,83</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0,07</w:t>
            </w:r>
          </w:p>
        </w:tc>
      </w:tr>
      <w:tr>
        <w:trPr>
          <w:trHeight w:val="310"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Calibri" w:cs="Arial" w:ascii="Arial" w:hAnsi="Arial"/>
                <w:kern w:val="0"/>
                <w:sz w:val="20"/>
                <w:szCs w:val="20"/>
                <w:lang w:val="pt-BR" w:eastAsia="de-DE" w:bidi="ar-SA"/>
              </w:rPr>
              <w:t>Teste do álcool (%)</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71,7</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73,9</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76,6</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78,1</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66,9</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69,6</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0,18</w:t>
            </w:r>
          </w:p>
        </w:tc>
      </w:tr>
      <w:tr>
        <w:trPr>
          <w:trHeight w:val="331" w:hRule="atLeast"/>
        </w:trPr>
        <w:tc>
          <w:tcPr>
            <w:tcW w:w="1979" w:type="dxa"/>
            <w:tcBorders>
              <w:top w:val="nil"/>
              <w:left w:val="nil"/>
              <w:bottom w:val="nil"/>
              <w:right w:val="nil"/>
            </w:tcBorders>
            <w:vAlign w:val="center"/>
          </w:tcPr>
          <w:p>
            <w:pPr>
              <w:pStyle w:val="Normal"/>
              <w:widowControl/>
              <w:spacing w:before="0" w:after="0"/>
              <w:jc w:val="both"/>
              <w:rPr>
                <w:rFonts w:ascii="Arial" w:hAnsi="Arial" w:cs="Arial"/>
                <w:sz w:val="20"/>
                <w:szCs w:val="20"/>
                <w:lang w:eastAsia="de-DE"/>
              </w:rPr>
            </w:pPr>
            <w:r>
              <w:rPr>
                <w:rFonts w:eastAsia="Calibri" w:cs="Arial" w:ascii="Arial" w:hAnsi="Arial"/>
                <w:kern w:val="0"/>
                <w:sz w:val="20"/>
                <w:szCs w:val="20"/>
                <w:lang w:val="pt-BR" w:eastAsia="de-DE" w:bidi="ar-SA"/>
              </w:rPr>
              <w:t>Crioscopia (°C)</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-0,537</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-0,536</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-0,536</w:t>
            </w:r>
          </w:p>
        </w:tc>
        <w:tc>
          <w:tcPr>
            <w:tcW w:w="900"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-0,534</w:t>
            </w:r>
          </w:p>
        </w:tc>
        <w:tc>
          <w:tcPr>
            <w:tcW w:w="89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-0,538</w:t>
            </w:r>
          </w:p>
        </w:tc>
        <w:tc>
          <w:tcPr>
            <w:tcW w:w="90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-0,538</w:t>
            </w:r>
          </w:p>
        </w:tc>
        <w:tc>
          <w:tcPr>
            <w:tcW w:w="98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0,21</w:t>
            </w:r>
          </w:p>
        </w:tc>
        <w:tc>
          <w:tcPr>
            <w:tcW w:w="991"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0,004</w:t>
            </w:r>
          </w:p>
        </w:tc>
        <w:tc>
          <w:tcPr>
            <w:tcW w:w="1349" w:type="dxa"/>
            <w:tcBorders>
              <w:top w:val="nil"/>
              <w:left w:val="nil"/>
              <w:bottom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0,58</w:t>
            </w:r>
          </w:p>
        </w:tc>
      </w:tr>
      <w:tr>
        <w:trPr>
          <w:trHeight w:val="310" w:hRule="atLeast"/>
        </w:trPr>
        <w:tc>
          <w:tcPr>
            <w:tcW w:w="1979" w:type="dxa"/>
            <w:tcBorders>
              <w:top w:val="nil"/>
              <w:left w:val="nil"/>
              <w:right w:val="nil"/>
            </w:tcBorders>
            <w:vAlign w:val="center"/>
          </w:tcPr>
          <w:p>
            <w:pPr>
              <w:pStyle w:val="Normal"/>
              <w:widowControl/>
              <w:spacing w:before="0" w:after="0"/>
              <w:jc w:val="both"/>
              <w:rPr>
                <w:rFonts w:ascii="Arial" w:hAnsi="Arial" w:cs="Arial"/>
                <w:sz w:val="20"/>
                <w:szCs w:val="20"/>
                <w:lang w:eastAsia="de-DE"/>
              </w:rPr>
            </w:pPr>
            <w:r>
              <w:rPr>
                <w:rFonts w:eastAsia="Helvetica Neue" w:cs="Arial" w:ascii="Arial" w:hAnsi="Arial"/>
                <w:kern w:val="0"/>
                <w:sz w:val="20"/>
                <w:szCs w:val="20"/>
                <w:lang w:val="pt-BR" w:eastAsia="de-DE" w:bidi="ar-SA"/>
              </w:rPr>
              <w:t>Cloretos (%)</w:t>
            </w:r>
          </w:p>
        </w:tc>
        <w:tc>
          <w:tcPr>
            <w:tcW w:w="991"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0,09</w:t>
            </w:r>
          </w:p>
        </w:tc>
        <w:tc>
          <w:tcPr>
            <w:tcW w:w="899"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0,08</w:t>
            </w:r>
          </w:p>
        </w:tc>
        <w:tc>
          <w:tcPr>
            <w:tcW w:w="901"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0,09</w:t>
            </w:r>
          </w:p>
        </w:tc>
        <w:tc>
          <w:tcPr>
            <w:tcW w:w="900"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0,08</w:t>
            </w:r>
          </w:p>
        </w:tc>
        <w:tc>
          <w:tcPr>
            <w:tcW w:w="899"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0,09</w:t>
            </w:r>
          </w:p>
        </w:tc>
        <w:tc>
          <w:tcPr>
            <w:tcW w:w="901"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0,09</w:t>
            </w:r>
          </w:p>
        </w:tc>
        <w:tc>
          <w:tcPr>
            <w:tcW w:w="989"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&lt;0,001</w:t>
            </w:r>
          </w:p>
        </w:tc>
        <w:tc>
          <w:tcPr>
            <w:tcW w:w="991"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0,02</w:t>
            </w:r>
          </w:p>
        </w:tc>
        <w:tc>
          <w:tcPr>
            <w:tcW w:w="1349" w:type="dxa"/>
            <w:tcBorders>
              <w:top w:val="nil"/>
              <w:left w:val="nil"/>
              <w:right w:val="nil"/>
            </w:tcBorders>
          </w:tcPr>
          <w:p>
            <w:pPr>
              <w:pStyle w:val="Normal"/>
              <w:widowControl/>
              <w:spacing w:lineRule="auto" w:line="276" w:before="0" w:after="0"/>
              <w:jc w:val="center"/>
              <w:rPr>
                <w:rFonts w:ascii="Arial" w:hAnsi="Arial" w:cs="Arial"/>
                <w:sz w:val="20"/>
                <w:szCs w:val="20"/>
              </w:rPr>
            </w:pPr>
            <w:r>
              <w:rPr>
                <w:rFonts w:eastAsia="Helvetica Neue" w:cs="Arial" w:ascii="Arial" w:hAnsi="Arial"/>
                <w:kern w:val="0"/>
                <w:sz w:val="20"/>
                <w:szCs w:val="20"/>
                <w:lang w:val="pt-BR" w:eastAsia="en-US" w:bidi="ar-SA"/>
              </w:rPr>
              <w:t>0,39</w:t>
            </w:r>
          </w:p>
        </w:tc>
      </w:tr>
    </w:tbl>
    <w:p>
      <w:pPr>
        <w:pStyle w:val="Normal"/>
        <w:spacing w:lineRule="auto" w:line="259"/>
        <w:rPr>
          <w:rFonts w:ascii="Arial" w:hAnsi="Arial" w:cs="Arial"/>
          <w:sz w:val="20"/>
          <w:lang w:val="pt-BR"/>
        </w:rPr>
      </w:pPr>
      <w:r>
        <w:rPr>
          <w:rFonts w:cs="Arial" w:ascii="Arial" w:hAnsi="Arial"/>
          <w:sz w:val="20"/>
          <w:vertAlign w:val="superscript"/>
          <w:lang w:val="pt-BR"/>
        </w:rPr>
        <w:t>1</w:t>
      </w:r>
      <w:r>
        <w:rPr>
          <w:rFonts w:cs="Arial" w:ascii="Arial" w:hAnsi="Arial"/>
          <w:sz w:val="20"/>
          <w:lang w:val="pt-BR"/>
        </w:rPr>
        <w:t xml:space="preserve">Leite corrigido para energia; </w:t>
      </w:r>
      <w:r>
        <w:rPr>
          <w:rFonts w:cs="Arial" w:ascii="Arial" w:hAnsi="Arial"/>
          <w:sz w:val="20"/>
          <w:vertAlign w:val="superscript"/>
          <w:lang w:val="pt-BR"/>
        </w:rPr>
        <w:t>2</w:t>
      </w:r>
      <w:r>
        <w:rPr>
          <w:rFonts w:cs="Arial" w:ascii="Arial" w:hAnsi="Arial"/>
          <w:sz w:val="20"/>
          <w:lang w:val="pt-BR"/>
        </w:rPr>
        <w:t>interação entre tratamento e experimento.</w:t>
      </w:r>
    </w:p>
    <w:p>
      <w:pPr>
        <w:pStyle w:val="Normal"/>
        <w:spacing w:lineRule="auto" w:line="259"/>
        <w:rPr>
          <w:rFonts w:ascii="Arial" w:hAnsi="Arial" w:cs="Arial"/>
          <w:sz w:val="20"/>
          <w:lang w:val="pt-BR"/>
        </w:rPr>
      </w:pPr>
      <w:r>
        <w:rPr>
          <w:rFonts w:cs="Arial" w:ascii="Arial" w:hAnsi="Arial"/>
          <w:sz w:val="20"/>
          <w:lang w:val="pt-BR"/>
        </w:rPr>
      </w:r>
    </w:p>
    <w:p>
      <w:pPr>
        <w:pStyle w:val="LOnormal"/>
        <w:jc w:val="both"/>
        <w:rPr>
          <w:rFonts w:ascii="Arial" w:hAnsi="Arial"/>
          <w:color w:val="000000"/>
          <w:sz w:val="22"/>
          <w:szCs w:val="22"/>
          <w:u w:val="none" w:color="000000"/>
          <w:lang w:val="pt-BR"/>
        </w:rPr>
      </w:pPr>
      <w:r>
        <w:rPr>
          <w:rFonts w:ascii="Arial" w:hAnsi="Arial"/>
          <w:color w:val="000000"/>
          <w:sz w:val="22"/>
          <w:szCs w:val="22"/>
          <w:u w:val="none" w:color="000000"/>
          <w:lang w:val="pt-BR"/>
        </w:rPr>
        <w:t xml:space="preserve">A maior produção de leite no verão em nosso estudo está provavelmente relacionada ao aumento do conteúdo energético da dieta (+ 400 g de óleo de linhaça). No entanto, esta maior produção de leite possa ser atribuída à melhoria da eficiência energética durante os períodos de estresse térmico (BAUMAN et al. 2008), já que não houve diferença observada durante a primavera. A redução nos teores de gordura pode estar relacionada ao aumento de CLA C18:2 </w:t>
      </w:r>
      <w:r>
        <w:rPr>
          <w:rFonts w:ascii="Arial" w:hAnsi="Arial"/>
          <w:i/>
          <w:iCs/>
          <w:color w:val="000000"/>
          <w:sz w:val="22"/>
          <w:szCs w:val="22"/>
          <w:u w:val="none" w:color="000000"/>
          <w:lang w:val="pt-BR"/>
        </w:rPr>
        <w:t>t</w:t>
      </w:r>
      <w:r>
        <w:rPr>
          <w:rFonts w:ascii="Arial" w:hAnsi="Arial"/>
          <w:color w:val="000000"/>
          <w:sz w:val="22"/>
          <w:szCs w:val="22"/>
          <w:u w:val="none" w:color="000000"/>
          <w:lang w:val="pt-BR"/>
        </w:rPr>
        <w:t xml:space="preserve">10, </w:t>
      </w:r>
      <w:r>
        <w:rPr>
          <w:rFonts w:ascii="Arial" w:hAnsi="Arial"/>
          <w:i/>
          <w:iCs/>
          <w:color w:val="000000"/>
          <w:sz w:val="22"/>
          <w:szCs w:val="22"/>
          <w:u w:val="none" w:color="000000"/>
          <w:lang w:val="pt-BR"/>
        </w:rPr>
        <w:t>c</w:t>
      </w:r>
      <w:r>
        <w:rPr>
          <w:rFonts w:ascii="Arial" w:hAnsi="Arial"/>
          <w:color w:val="000000"/>
          <w:sz w:val="22"/>
          <w:szCs w:val="22"/>
          <w:u w:val="none" w:color="000000"/>
          <w:lang w:val="pt-BR"/>
        </w:rPr>
        <w:t>12 no leite devido à suplementação com OL (BAUMAN et al. 2008). Benchaar et al. (2012) também relataram diminuição no teor de proteína do leite, com redução de 6% quando suplementado com 4% de OL. Parte da redução proteica pode ser explicada pela redução do teor de caseína em nosso estudo. O aumento na estabilidade do leite também pode estar relacionado a um menor incremento de calor durante a fermentação ruminal do OL.</w:t>
      </w:r>
    </w:p>
    <w:p>
      <w:pPr>
        <w:pStyle w:val="LOnormal"/>
        <w:jc w:val="both"/>
        <w:rPr>
          <w:rFonts w:ascii="Arial" w:hAnsi="Arial"/>
          <w:b/>
          <w:b/>
          <w:bCs/>
          <w:color w:val="000000"/>
          <w:sz w:val="22"/>
          <w:szCs w:val="22"/>
          <w:u w:val="none" w:color="000000"/>
          <w:lang w:val="pt-BR"/>
        </w:rPr>
      </w:pPr>
      <w:r>
        <w:rPr>
          <w:rFonts w:ascii="Arial" w:hAnsi="Arial"/>
          <w:b/>
          <w:bCs/>
          <w:color w:val="000000"/>
          <w:sz w:val="22"/>
          <w:szCs w:val="22"/>
          <w:u w:val="none" w:color="000000"/>
          <w:lang w:val="pt-BR"/>
        </w:rPr>
      </w:r>
    </w:p>
    <w:p>
      <w:pPr>
        <w:pStyle w:val="LOnormal"/>
        <w:jc w:val="both"/>
        <w:rPr>
          <w:rFonts w:ascii="Arial" w:hAnsi="Arial" w:eastAsia="Arial" w:cs="Arial"/>
          <w:b/>
          <w:b/>
          <w:bCs/>
          <w:color w:val="000000"/>
          <w:sz w:val="22"/>
          <w:szCs w:val="22"/>
          <w:u w:val="none" w:color="000000"/>
          <w:lang w:val="pt-BR"/>
        </w:rPr>
      </w:pPr>
      <w:r>
        <w:rPr>
          <w:rFonts w:ascii="Arial" w:hAnsi="Arial"/>
          <w:b/>
          <w:bCs/>
          <w:color w:val="000000"/>
          <w:sz w:val="22"/>
          <w:szCs w:val="22"/>
          <w:u w:val="none" w:color="000000"/>
          <w:lang w:val="pt-BR"/>
        </w:rPr>
        <w:t>Conclusão</w:t>
      </w:r>
      <w:r>
        <w:rPr>
          <w:rFonts w:ascii="Arial" w:hAnsi="Arial"/>
          <w:color w:val="000000"/>
          <w:sz w:val="22"/>
          <w:szCs w:val="22"/>
          <w:u w:val="none" w:color="000000"/>
          <w:lang w:val="pt-BR"/>
        </w:rPr>
        <w:t>: A suplementação de 400 g/dia com OL em uma dieta a pasto parece melhorar a adaptação das vacas às condições de estresse térmico, evidenciado pelo aumento da produção e estabilidade do leite.</w:t>
      </w:r>
    </w:p>
    <w:p>
      <w:pPr>
        <w:pStyle w:val="LOnormal"/>
        <w:jc w:val="both"/>
        <w:rPr>
          <w:rFonts w:ascii="Arial" w:hAnsi="Arial" w:eastAsia="Arial" w:cs="Arial"/>
          <w:b/>
          <w:b/>
          <w:bCs/>
          <w:color w:val="000000"/>
          <w:sz w:val="22"/>
          <w:szCs w:val="22"/>
          <w:u w:val="none" w:color="000000"/>
          <w:lang w:val="pt-BR"/>
        </w:rPr>
      </w:pPr>
      <w:r>
        <w:rPr>
          <w:rFonts w:eastAsia="Arial" w:cs="Arial" w:ascii="Arial" w:hAnsi="Arial"/>
          <w:b/>
          <w:bCs/>
          <w:color w:val="000000"/>
          <w:sz w:val="22"/>
          <w:szCs w:val="22"/>
          <w:u w:val="none" w:color="000000"/>
          <w:lang w:val="pt-BR"/>
        </w:rPr>
      </w:r>
    </w:p>
    <w:p>
      <w:pPr>
        <w:pStyle w:val="LOnormal"/>
        <w:jc w:val="both"/>
        <w:rPr>
          <w:rFonts w:ascii="Arial" w:hAnsi="Arial"/>
          <w:b/>
          <w:b/>
          <w:bCs/>
          <w:color w:val="000000"/>
          <w:sz w:val="22"/>
          <w:szCs w:val="22"/>
          <w:u w:val="none" w:color="000000"/>
        </w:rPr>
      </w:pPr>
      <w:r>
        <w:rPr>
          <w:rFonts w:ascii="Arial" w:hAnsi="Arial"/>
          <w:b/>
          <w:bCs/>
          <w:color w:val="000000"/>
          <w:sz w:val="22"/>
          <w:szCs w:val="22"/>
          <w:u w:val="none" w:color="000000"/>
        </w:rPr>
        <w:t>Referências:</w:t>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t xml:space="preserve">BAUMAN D.E.; PERFIELD J.W.; HARVATINE K.J.; BAUMGARD L.H. Regulation of fat synthesis by conjugated linoleic acid: Lactation and the ruminant model. Journal of Nutrition 138:403–409. 2008. </w:t>
      </w:r>
      <w:hyperlink r:id="rId4">
        <w:r>
          <w:rPr>
            <w:rStyle w:val="LinkdaInternet"/>
            <w:rFonts w:eastAsia="Arial" w:cs="Arial" w:ascii="Arial" w:hAnsi="Arial"/>
            <w:sz w:val="22"/>
            <w:szCs w:val="22"/>
          </w:rPr>
          <w:t>https://doi.org/10.1093/jn/138.2.403</w:t>
        </w:r>
      </w:hyperlink>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t>BAUMGARD L.H.; KEATING A.; ROSS J.W.; RHOADS R.P. Effects of heat stress on the immune system, metabolism and nutrient partitioning: implications on reproductive success. Revista Brasileira de Reprodução Animal 39:173–183. 2015.</w:t>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t xml:space="preserve">BENCHAAR C.; ROMERO-PÉREZ G.A.; CHOUINARD P.Y.; HASSANAT F.; EUGENE M.; PETIT H.V.; CÔRTES C. Supplementation of increasing amounts of linseed oil to dairy cows fed total mixed rations: Effects on digestion, ruminal fermentation characteristics, protozoal populations, and milk fatty acid composition. Journal of Dairy Science 95:4578–4590. 2012. </w:t>
      </w:r>
      <w:hyperlink r:id="rId5">
        <w:r>
          <w:rPr>
            <w:rStyle w:val="LinkdaInternet"/>
            <w:rFonts w:eastAsia="Arial" w:cs="Arial" w:ascii="Arial" w:hAnsi="Arial"/>
            <w:sz w:val="22"/>
            <w:szCs w:val="22"/>
          </w:rPr>
          <w:t>https://doi.org/10.3168/jds.2012-5455</w:t>
        </w:r>
      </w:hyperlink>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t xml:space="preserve">BERNABUCCI U.; LACETERA N.; BAUMGARD L.H.; RHOADS R.P.; RONCHI B.; NARDONE A. Metabolic and hormonal acclimation to heat stress in domesticated ruminants. Animal 4:1167–1183. 2010 </w:t>
      </w:r>
      <w:hyperlink r:id="rId6">
        <w:r>
          <w:rPr>
            <w:rStyle w:val="LinkdaInternet"/>
            <w:rFonts w:eastAsia="Arial" w:cs="Arial" w:ascii="Arial" w:hAnsi="Arial"/>
            <w:sz w:val="22"/>
            <w:szCs w:val="22"/>
          </w:rPr>
          <w:t>https://doi.org/10.1017/S175173111000090X</w:t>
        </w:r>
      </w:hyperlink>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t xml:space="preserve">HURTAUD C.; FAUCON F.; COUVREUR S.; PEYRAUD J.L. Linear relationship between increasing amounts of extruded linseed in dairy cow diet and milk fatty acid composition and butter properties. Journal of Dairy Science 93:1429–1443. 2010. </w:t>
      </w:r>
      <w:hyperlink r:id="rId7">
        <w:r>
          <w:rPr>
            <w:rStyle w:val="LinkdaInternet"/>
            <w:rFonts w:eastAsia="Arial" w:cs="Arial" w:ascii="Arial" w:hAnsi="Arial"/>
            <w:sz w:val="22"/>
            <w:szCs w:val="22"/>
          </w:rPr>
          <w:t>https://doi.org/10.3168/jds.2009-2839</w:t>
        </w:r>
      </w:hyperlink>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t xml:space="preserve">KAPPES R.; KNOB D.A.; SCHEID A.L. BARRETA B.E.; PERAZZOLI L.; BERGAMASCHI MENDES B.; ALESSIO D.R.M.; THALER NETO A. Rumination time, activity index, and productive performance of Holstein and crossbred Holstein × jersey cows exposed to different temperature-humidity indexes. International Journal of Biometeorology 66:791–801. 2022. </w:t>
      </w:r>
      <w:hyperlink r:id="rId8">
        <w:r>
          <w:rPr>
            <w:rStyle w:val="LinkdaInternet"/>
            <w:rFonts w:eastAsia="Arial" w:cs="Arial" w:ascii="Arial" w:hAnsi="Arial"/>
            <w:sz w:val="22"/>
            <w:szCs w:val="22"/>
          </w:rPr>
          <w:t>https://doi.org/10.1007/s00484-021-02237-3</w:t>
        </w:r>
      </w:hyperlink>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t xml:space="preserve">PALMQUIST D.L.; JENKINS T.C. A 100-Year Review: Fat feeding of dairy cows. Journal of Dairy Science 100:10061–10077. 2017. </w:t>
      </w:r>
      <w:hyperlink r:id="rId9">
        <w:r>
          <w:rPr>
            <w:rStyle w:val="LinkdaInternet"/>
            <w:rFonts w:eastAsia="Arial" w:cs="Arial" w:ascii="Arial" w:hAnsi="Arial"/>
            <w:sz w:val="22"/>
            <w:szCs w:val="22"/>
          </w:rPr>
          <w:t>https://doi.org/10.3168/jds.2017-12924</w:t>
        </w:r>
      </w:hyperlink>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ind w:right="284" w:hanging="0"/>
        <w:jc w:val="both"/>
        <w:rPr/>
      </w:pPr>
      <w:r>
        <w:rPr/>
      </w:r>
    </w:p>
    <w:sectPr>
      <w:headerReference w:type="default" r:id="rId10"/>
      <w:footerReference w:type="default" r:id="rId11"/>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e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pBdr/>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name w:val="Link da Internet"/>
    <w:rPr>
      <w:u w:val="single"/>
    </w:rPr>
  </w:style>
  <w:style w:type="character" w:styleId="UnresolvedMention">
    <w:name w:val="Unresolved Mention"/>
    <w:basedOn w:val="DefaultParagraphFont"/>
    <w:uiPriority w:val="99"/>
    <w:semiHidden/>
    <w:unhideWhenUsed/>
    <w:qFormat/>
    <w:rsid w:val="00357394"/>
    <w:rPr>
      <w:color w:val="605E5C"/>
      <w:shd w:fill="E1DFDD" w:val="clear"/>
    </w:rPr>
  </w:style>
  <w:style w:type="character" w:styleId="CorpodetextoChar" w:customStyle="1">
    <w:name w:val="Corpo de texto Char"/>
    <w:basedOn w:val="DefaultParagraphFont"/>
    <w:uiPriority w:val="1"/>
    <w:qFormat/>
    <w:rsid w:val="00d05b4b"/>
    <w:rPr>
      <w:rFonts w:eastAsia="Times New Roman"/>
      <w:sz w:val="24"/>
      <w:szCs w:val="24"/>
      <w:lang w:val="pt-P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uiPriority w:val="1"/>
    <w:qFormat/>
    <w:rsid w:val="00d05b4b"/>
    <w:pPr>
      <w:widowControl w:val="false"/>
      <w:pBdr/>
    </w:pPr>
    <w:rPr>
      <w:rFonts w:eastAsia="Times New Roman"/>
      <w:lang w:val="pt-PT"/>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customStyle="1">
    <w:name w:val="LO-normal"/>
    <w:qFormat/>
    <w:pPr>
      <w:widowControl/>
      <w:pBdr/>
      <w:suppressAutoHyphens w:val="true"/>
      <w:bidi w:val="0"/>
      <w:spacing w:before="0" w:after="0"/>
      <w:jc w:val="left"/>
    </w:pPr>
    <w:rPr>
      <w:rFonts w:ascii="Cambria" w:hAnsi="Cambria" w:cs="Arial Unicode MS" w:eastAsia="Arial Unicode MS"/>
      <w:color w:val="00000A"/>
      <w:kern w:val="0"/>
      <w:sz w:val="24"/>
      <w:szCs w:val="24"/>
      <w:u w:val="none" w:color="00000A"/>
      <w:lang w:val="en-US" w:eastAsia="en-US" w:bidi="ar-SA"/>
    </w:rPr>
  </w:style>
  <w:style w:type="paragraph" w:styleId="CabealhoeRodap" w:customStyle="1">
    <w:name w:val="Cabeçalho e Rodapé"/>
    <w:qFormat/>
    <w:pPr>
      <w:widowControl/>
      <w:pBdr/>
      <w:tabs>
        <w:tab w:val="clear" w:pos="720"/>
        <w:tab w:val="right" w:pos="9020" w:leader="none"/>
      </w:tabs>
      <w:bidi w:val="0"/>
      <w:spacing w:before="0" w:after="0"/>
      <w:jc w:val="left"/>
    </w:pPr>
    <w:rPr>
      <w:rFonts w:ascii="Helvetica Neue" w:hAnsi="Helvetica Neue" w:cs="Arial Unicode MS" w:eastAsia="Arial Unicode MS"/>
      <w:color w:val="000000"/>
      <w:kern w:val="0"/>
      <w:sz w:val="24"/>
      <w:szCs w:val="24"/>
      <w:lang w:val="en-US" w:eastAsia="en-US" w:bidi="ar-SA"/>
      <w14:textOutline w14:w="0" w14:cap="flat" w14:cmpd="sng" w14:algn="ctr">
        <w14:noFill/>
        <w14:prstDash w14:val="solid"/>
        <w14:bevel/>
      </w14:textOutline>
    </w:rPr>
  </w:style>
  <w:style w:type="paragraph" w:styleId="Cabealho">
    <w:name w:val="Header"/>
    <w:basedOn w:val="CabealhoeRodap"/>
    <w:pPr/>
    <w:rPr/>
  </w:style>
  <w:style w:type="paragraph" w:styleId="Rodap">
    <w:name w:val="Footer"/>
    <w:basedOn w:val="CabealhoeRodap"/>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styleId="Tabelacomgrade">
    <w:name w:val="Table Grid"/>
    <w:basedOn w:val="Tabelanormal"/>
    <w:uiPriority w:val="39"/>
    <w:rsid w:val="00d05b4b"/>
    <w:rPr>
      <w:rFonts w:asciiTheme="minorHAnsi" w:hAnsiTheme="minorHAnsi" w:eastAsiaTheme="minorHAnsi" w:cstheme="minorBidi"/>
      <w:lang w:val="pt-B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andre.thaler@udesc.br" TargetMode="External"/><Relationship Id="rId4" Type="http://schemas.openxmlformats.org/officeDocument/2006/relationships/hyperlink" Target="https://doi.org/10.1093/jn/138.2.403" TargetMode="External"/><Relationship Id="rId5" Type="http://schemas.openxmlformats.org/officeDocument/2006/relationships/hyperlink" Target="https://doi.org/10.3168/jds.2012-5455" TargetMode="External"/><Relationship Id="rId6" Type="http://schemas.openxmlformats.org/officeDocument/2006/relationships/hyperlink" Target="https://doi.org/10.1017/S175173111000090X" TargetMode="External"/><Relationship Id="rId7" Type="http://schemas.openxmlformats.org/officeDocument/2006/relationships/hyperlink" Target="https://doi.org/10.3168/jds.2009-2839" TargetMode="External"/><Relationship Id="rId8" Type="http://schemas.openxmlformats.org/officeDocument/2006/relationships/hyperlink" Target="https://doi.org/10.1007/s00484-021-02237-3" TargetMode="External"/><Relationship Id="rId9" Type="http://schemas.openxmlformats.org/officeDocument/2006/relationships/hyperlink" Target="https://doi.org/10.3168/jds.2017-12924"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Application>LibreOffice/7.3.2.2$Windows_X86_64 LibreOffice_project/49f2b1bff42cfccbd8f788c8dc32c1c309559be0</Application>
  <AppVersion>15.0000</AppVersion>
  <Pages>3</Pages>
  <Words>1660</Words>
  <Characters>8815</Characters>
  <CharactersWithSpaces>10307</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2023-09-29T14:57:00Z</dcterms:created>
  <dc:creator>Usuário</dc:creator>
  <dc:description/>
  <dc:language>pt-BR</dc:language>
  <cp:lastModifiedBy>ROBERTO KAPPES</cp:lastModifiedBy>
  <dcterms:modified xsi:type="dcterms:W3CDTF">2023-10-01T00:11:00Z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file>