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76"/>
        <w:ind w:right="280" w:hanging="0"/>
        <w:jc w:val="center"/>
        <w:rPr>
          <w:lang w:val="pt-BR"/>
        </w:rPr>
      </w:pPr>
      <w:r>
        <w:drawing>
          <wp:anchor behindDoc="0" distT="152400" distB="152400" distL="152400" distR="152400" simplePos="0" locked="0" layoutInCell="0" allowOverlap="1" relativeHeight="2">
            <wp:simplePos x="0" y="0"/>
            <wp:positionH relativeFrom="page">
              <wp:align>right</wp:align>
            </wp:positionH>
            <wp:positionV relativeFrom="page">
              <wp:posOffset>13970</wp:posOffset>
            </wp:positionV>
            <wp:extent cx="7556500" cy="1115060"/>
            <wp:effectExtent l="0" t="0" r="0" b="0"/>
            <wp:wrapTopAndBottom/>
            <wp:docPr id="1" name="Imagem 1202926324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202926324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pt-BR"/>
        </w:rPr>
        <w:t xml:space="preserve"> </w:t>
      </w:r>
    </w:p>
    <w:p>
      <w:pPr>
        <w:pStyle w:val="LOnormal"/>
        <w:spacing w:lineRule="auto" w:line="276"/>
        <w:ind w:right="280" w:hanging="0"/>
        <w:jc w:val="center"/>
        <w:rPr>
          <w:rFonts w:ascii="Arial" w:hAnsi="Arial" w:eastAsia="Arial" w:cs="Arial"/>
          <w:color w:val="000000"/>
          <w:sz w:val="28"/>
          <w:szCs w:val="28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8"/>
          <w:szCs w:val="28"/>
          <w:u w:val="none" w:color="000000"/>
          <w:lang w:val="pt-BR"/>
        </w:rPr>
        <w:t>EFEITO DA ADIÇÃO DE ÓLEO DE LINHAÇA SOBRE O PERFIL DE ACIDOS GRAXOS DO LEITE DE VACAS A PASTO</w:t>
      </w:r>
    </w:p>
    <w:p>
      <w:pPr>
        <w:pStyle w:val="LOnormal"/>
        <w:ind w:right="284" w:hanging="0"/>
        <w:jc w:val="center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ind w:right="284" w:hanging="0"/>
        <w:jc w:val="center"/>
        <w:rPr>
          <w:rFonts w:ascii="Arial" w:hAnsi="Arial"/>
          <w:color w:val="000000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Gadriéli Cristina Gheno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, Roberto Kappes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, Ione Maria Pereira Haygert Velho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, Ana Carolina Hadlich Xavier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3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, Luiz Eduardo Lobo e Silva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3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, Roger Wagner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3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, João Pedro Velho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 xml:space="preserve">, </w:t>
      </w:r>
      <w:r>
        <w:rPr>
          <w:rFonts w:ascii="Arial" w:hAnsi="Arial"/>
          <w:color w:val="000000"/>
          <w:sz w:val="20"/>
          <w:szCs w:val="20"/>
          <w:u w:val="single" w:color="000000"/>
          <w:lang w:val="pt-BR"/>
        </w:rPr>
        <w:t>André Thaler Neto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.</w:t>
      </w:r>
    </w:p>
    <w:p>
      <w:pPr>
        <w:pStyle w:val="LOnormal"/>
        <w:ind w:right="284" w:hanging="0"/>
        <w:jc w:val="center"/>
        <w:rPr>
          <w:rFonts w:ascii="Arial" w:hAnsi="Arial"/>
          <w:color w:val="000000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</w:r>
    </w:p>
    <w:p>
      <w:pPr>
        <w:pStyle w:val="LOnormal"/>
        <w:ind w:right="284" w:hanging="0"/>
        <w:jc w:val="center"/>
        <w:rPr>
          <w:rFonts w:ascii="Arial" w:hAnsi="Arial"/>
          <w:color w:val="000000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Programa de Pós-Graduação em Ciência Animal - CAV/UDESC, Lages – SC</w:t>
      </w:r>
    </w:p>
    <w:p>
      <w:pPr>
        <w:pStyle w:val="LOnormal"/>
        <w:ind w:right="284" w:hanging="0"/>
        <w:jc w:val="center"/>
        <w:rPr>
          <w:rFonts w:ascii="Arial" w:hAnsi="Arial"/>
          <w:color w:val="000000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 xml:space="preserve"> Universidade Federal de Santa Maria, Palmeira das Missões, Palmeira das Missões – RS</w:t>
      </w:r>
      <w:r>
        <w:rPr>
          <w:rFonts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 xml:space="preserve"> 3</w:t>
      </w:r>
      <w:r>
        <w:rPr>
          <w:rFonts w:ascii="Arial" w:hAnsi="Arial"/>
          <w:color w:val="000000"/>
          <w:sz w:val="20"/>
          <w:szCs w:val="20"/>
          <w:u w:val="none" w:color="000000"/>
          <w:lang w:val="pt-BR"/>
        </w:rPr>
        <w:t>Universidade Federal de Santa Maria, Santa Maria – RS</w:t>
      </w:r>
    </w:p>
    <w:p>
      <w:pPr>
        <w:pStyle w:val="LOnormal"/>
        <w:ind w:right="284" w:hanging="0"/>
        <w:jc w:val="center"/>
        <w:rPr>
          <w:rFonts w:ascii="Arial" w:hAnsi="Arial"/>
          <w:color w:val="000000"/>
          <w:sz w:val="20"/>
          <w:szCs w:val="20"/>
          <w:u w:val="none" w:color="000000"/>
        </w:rPr>
      </w:pPr>
      <w:r>
        <w:rPr>
          <w:rFonts w:ascii="Arial" w:hAnsi="Arial"/>
          <w:color w:val="000000"/>
          <w:sz w:val="20"/>
          <w:szCs w:val="20"/>
          <w:u w:val="none" w:color="000000"/>
        </w:rPr>
        <w:t xml:space="preserve">* Corresponding author: </w:t>
      </w:r>
      <w:hyperlink r:id="rId3">
        <w:r>
          <w:rPr>
            <w:rStyle w:val="LinkdaInternet"/>
            <w:rFonts w:ascii="Arial" w:hAnsi="Arial"/>
            <w:sz w:val="20"/>
            <w:szCs w:val="20"/>
          </w:rPr>
          <w:t>andre.thaler@udesc.br</w:t>
        </w:r>
      </w:hyperlink>
    </w:p>
    <w:p>
      <w:pPr>
        <w:pStyle w:val="LOnormal"/>
        <w:ind w:right="284" w:hanging="0"/>
        <w:jc w:val="center"/>
        <w:rPr>
          <w:rFonts w:ascii="Arial" w:hAnsi="Arial" w:eastAsia="Arial" w:cs="Arial"/>
          <w:color w:val="000000"/>
          <w:sz w:val="22"/>
          <w:szCs w:val="22"/>
          <w:u w:val="none" w:color="000000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Contribuição para a sociedade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: A suplementação lipídica em vacas leiteiras tem o potencial de aumentar a densidade energética da dieta e transferir para o leite compostos bioativos benéficos a saúde humana. O objetivo foi avaliar o efeito da suplementação com óleo de linhaça (LO) sobre o perfil de ácidos graxos (AG) do leite de vacas a pasto na primavera e no verão. As vacas foram separadas em dois tratamentos: controle (TC) e suplementação com óleo de linhaça (TL). O grupo TL foi suplementado com 400 g/dia com óleo de linhaça. Houve um aumento de C18:3 n-3, e demais AGs de cadeia longa e uma diminuição nos AG da síntese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de novo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(C10:0, C12:0, C14:0 - C16:0) e C16:1, C17:0, C17:1, C20:3 n6 e C20:4 n6. A suplementação de vacas a pasto com OL modula o perfil de AG do leite, melhorando as características nutricionais com potenciais benefícios à saúde humana.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Palavras-chave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: Síntese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de novo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, suplementação lipídica, ômega-3.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Introdução: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A suplementação lipídica é uma estratégia nutricional crescente nas propriedades leiteiras. Em detrimento a sua alta densidade energética, há um aumento da produção de leite sem incremento calórico durante os processos de digestão, muito recomendado nas estações quentes (PALMQUIST e JENKINS 2017). Além disso, alguns óleos, em especial o óleo de linhaça (OL) tem o potencial de transferir compostos bioativos como ômega-3 e outros ácidos graxos (AG) para o leite (LOOR et al. 2005). Estudos demonstraram vários benefícios do AG ômega-3 e CLAs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9,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11, and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10,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12 para a saúde humana, como efeitos anticarcinogênicos e cardioprotetores, e redução da hipertensão e artrite (BAUMAN et al. 2008; PETIT. 2010). O objetivo foi avaliar o efeito da suplementação com óleo de linhaça sobre o perfil de ácidos graxos do leite de vacas a pasto na primavera e no verão.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Corpodotexto"/>
        <w:ind w:right="6" w:hanging="0"/>
        <w:jc w:val="both"/>
        <w:rPr>
          <w:rFonts w:ascii="Arial" w:hAnsi="Arial" w:cs="Arial"/>
          <w:sz w:val="22"/>
          <w:szCs w:val="22"/>
          <w:lang w:val="pt-BR"/>
        </w:rPr>
      </w:pPr>
      <w:bookmarkStart w:id="0" w:name="_headingh.30j0zll"/>
      <w:bookmarkEnd w:id="0"/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Material e métodos: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O estudo foi conduzido no setor de bovinocultura de leite da Universidade do Estado de Santa Catarina </w:t>
      </w:r>
      <w:r>
        <w:rPr>
          <w:rFonts w:cs="Arial" w:ascii="Arial" w:hAnsi="Arial"/>
          <w:sz w:val="22"/>
          <w:szCs w:val="22"/>
          <w:lang w:val="pt-BR"/>
        </w:rPr>
        <w:t xml:space="preserve">(UDESC–CAV). </w:t>
      </w:r>
      <w:bookmarkStart w:id="1" w:name="_Toc123141009"/>
      <w:bookmarkStart w:id="2" w:name="_Toc123140811"/>
      <w:r>
        <w:rPr>
          <w:rFonts w:cs="Arial" w:ascii="Arial" w:hAnsi="Arial"/>
          <w:sz w:val="22"/>
          <w:szCs w:val="22"/>
          <w:lang w:val="pt-BR"/>
        </w:rPr>
        <w:t xml:space="preserve">O estudo foi separado em dois experimentos: I – primavera, iniciando em setembro de 2021, e II – iniciando em fevereiro de 2022. Os dois experimentos foram quadrado latino 2 x 2, dois tratamentos e dois períodos de 22 dias, sendo 15 de adaptação e 7 de coletas. Os tratamentos foram: </w:t>
      </w:r>
      <w:r>
        <w:rPr>
          <w:rFonts w:cs="Arial" w:ascii="Arial" w:hAnsi="Arial"/>
          <w:b/>
          <w:bCs/>
          <w:sz w:val="22"/>
          <w:szCs w:val="22"/>
          <w:lang w:val="pt-BR"/>
        </w:rPr>
        <w:t>Controle (TC)</w:t>
      </w:r>
      <w:r>
        <w:rPr>
          <w:rFonts w:cs="Arial" w:ascii="Arial" w:hAnsi="Arial"/>
          <w:sz w:val="22"/>
          <w:szCs w:val="22"/>
          <w:lang w:val="pt-BR"/>
        </w:rPr>
        <w:t xml:space="preserve">: pasto + 6 kg/dia de concentrado; e </w:t>
      </w:r>
      <w:r>
        <w:rPr>
          <w:rFonts w:cs="Arial" w:ascii="Arial" w:hAnsi="Arial"/>
          <w:b/>
          <w:bCs/>
          <w:sz w:val="22"/>
          <w:szCs w:val="22"/>
          <w:lang w:val="pt-BR"/>
        </w:rPr>
        <w:t>suplementação com óleo de linhaça (TL)</w:t>
      </w:r>
      <w:r>
        <w:rPr>
          <w:rFonts w:cs="Arial" w:ascii="Arial" w:hAnsi="Arial"/>
          <w:sz w:val="22"/>
          <w:szCs w:val="22"/>
          <w:lang w:val="pt-BR"/>
        </w:rPr>
        <w:t xml:space="preserve">: pasto + 6 kg/dia de concertado + 400 g/dia de óleo de linhaça (OL), objetivando 6% de lipídeos na dieta. </w:t>
      </w:r>
    </w:p>
    <w:p>
      <w:pPr>
        <w:pStyle w:val="Corpodotexto"/>
        <w:ind w:right="6" w:hanging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  <w:t xml:space="preserve">No experimento I foram usadas 6 vacas por tratamento das raças Holandês e mestiças Holandês x Jersey, formando um grupo homogêneo para DEL (160 ± 64), peso (548 ± 50 kg), produção (24.6 ± 5.0 L/dia) e OP (2.5 ± 1.0). No experimento II foram usadas 5 vacas por tratamento, homogêneas para DEL (196 ± 49), peso (553 ± 60 kg), produção (21.7 ± 2.4 litros/dia) e OP (2.3 ± 1.4). </w:t>
      </w:r>
    </w:p>
    <w:p>
      <w:pPr>
        <w:pStyle w:val="Corpodotexto"/>
        <w:ind w:right="6" w:hanging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  <w:t>As vacas foram ordenhadas duas vezes ao dia. Após cada ordenha, as vacas receberam individualmente a suplementação de acordo com o respectivo tratamento. Posteriormente as vacas tinham livre acesso ao pasto, sendo azevém perene</w:t>
      </w:r>
      <w:bookmarkEnd w:id="1"/>
      <w:bookmarkEnd w:id="2"/>
      <w:r>
        <w:rPr>
          <w:rFonts w:cs="Arial" w:ascii="Arial" w:hAnsi="Arial"/>
          <w:sz w:val="22"/>
          <w:szCs w:val="22"/>
          <w:lang w:val="pt-BR"/>
        </w:rPr>
        <w:t xml:space="preserve"> (</w:t>
      </w:r>
      <w:r>
        <w:rPr>
          <w:rFonts w:cs="Arial" w:ascii="Arial" w:hAnsi="Arial"/>
          <w:i/>
          <w:sz w:val="22"/>
          <w:szCs w:val="22"/>
          <w:lang w:val="pt-BR"/>
        </w:rPr>
        <w:t>Lolium multiflorum</w:t>
      </w:r>
      <w:r>
        <w:rPr>
          <w:rFonts w:cs="Arial" w:ascii="Arial" w:hAnsi="Arial"/>
          <w:sz w:val="22"/>
          <w:szCs w:val="22"/>
          <w:lang w:val="pt-BR"/>
        </w:rPr>
        <w:t xml:space="preserve"> cv. INIA TITAN</w:t>
      </w:r>
      <w:r>
        <w:rPr>
          <w:rFonts w:cs="Arial" w:ascii="Arial" w:hAnsi="Arial"/>
          <w:sz w:val="22"/>
          <w:szCs w:val="22"/>
          <w:vertAlign w:val="superscript"/>
          <w:lang w:val="pt-BR"/>
        </w:rPr>
        <w:t>®</w:t>
      </w:r>
      <w:r>
        <w:rPr>
          <w:rFonts w:cs="Arial" w:ascii="Arial" w:hAnsi="Arial"/>
          <w:sz w:val="22"/>
          <w:szCs w:val="22"/>
          <w:lang w:val="pt-BR"/>
        </w:rPr>
        <w:t>) no experimentoI, e milheto (</w:t>
      </w:r>
      <w:r>
        <w:rPr>
          <w:rFonts w:cs="Arial" w:ascii="Arial" w:hAnsi="Arial"/>
          <w:i/>
          <w:sz w:val="22"/>
          <w:szCs w:val="22"/>
          <w:lang w:val="pt-BR"/>
        </w:rPr>
        <w:t>Pennisetum americanum</w:t>
      </w:r>
      <w:r>
        <w:rPr>
          <w:rFonts w:cs="Arial" w:ascii="Arial" w:hAnsi="Arial"/>
          <w:sz w:val="22"/>
          <w:szCs w:val="22"/>
          <w:lang w:val="pt-BR"/>
        </w:rPr>
        <w:t>) no experimento II.</w:t>
      </w:r>
    </w:p>
    <w:p>
      <w:pPr>
        <w:pStyle w:val="Corpodotexto"/>
        <w:ind w:right="6" w:hanging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sz w:val="22"/>
          <w:szCs w:val="22"/>
          <w:lang w:val="pt-BR"/>
        </w:rPr>
        <w:t xml:space="preserve">No dia 21 de cada período experimental foram coletadas amostras compostas de leite da manhã e tarde, utilizadas para análise de perfil de ácidos graxos. </w:t>
      </w:r>
    </w:p>
    <w:p>
      <w:pPr>
        <w:pStyle w:val="Corpodotexto"/>
        <w:ind w:right="6" w:hanging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cs="Arial" w:ascii="Arial" w:hAnsi="Arial"/>
          <w:bCs/>
          <w:sz w:val="22"/>
          <w:szCs w:val="22"/>
          <w:lang w:val="pt-BR"/>
        </w:rPr>
        <w:t>Os dados foram submetidos a ANOVA com medidas repetidas no tempo, utilizando o procedimento MIXED do software estatístico SAS</w:t>
      </w:r>
      <w:r>
        <w:rPr>
          <w:rFonts w:cs="Arial" w:ascii="Arial" w:hAnsi="Arial"/>
          <w:bCs/>
          <w:sz w:val="22"/>
          <w:szCs w:val="22"/>
          <w:vertAlign w:val="superscript"/>
          <w:lang w:val="pt-BR"/>
        </w:rPr>
        <w:t>®</w:t>
      </w:r>
      <w:r>
        <w:rPr>
          <w:rFonts w:cs="Arial" w:ascii="Arial" w:hAnsi="Arial"/>
          <w:bCs/>
          <w:sz w:val="22"/>
          <w:szCs w:val="22"/>
          <w:lang w:val="pt-BR"/>
        </w:rPr>
        <w:t>. Os dados foram previamente testados quanto à normalidade dos resíduos, utilizando o teste de Kolmogorov-Smirnov. As diferenças estatísticas foram definidas ao nível de 5%. O modelo estatístico incluiu os efeitos fixos dos tratamentos (TC e TL), dos experimentos (primavera e verão), dos períodos entre os experimentos (1 e 2), das interações entre as variáveis e do erro experimental.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Resultados e discussões: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Houve interação entre tratamento e experimento para C16:0,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10,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12 e C18:3 n3 (Tabela 1). O ômega-3 do leite (C18:3 n-3) aumentou 53% com a suplementação de OL em comparação com TC. Os AG da síntese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de novo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(C10:0, C12:0, C14:0 - C16:0) foram maiores para TC do que para TL, o mesmo para C16:1, C17:0 e C17:1. Os AGs de cadeia longa C18:1 n7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11, C18:1 n9, C18:2 n6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9,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12, CLA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9,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11, CLA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10,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12 e C22:0 foram maiores em vacas suplementados com OL, enquanto C20:3 n6 e C20:4 n6 foram maiores para TC. </w:t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  <w:u w:val="none" w:color="000000"/>
          <w:lang w:val="pt-BR"/>
        </w:rPr>
        <w:t>Tabela 1. Médias dos mínimos quadrados e valores de P para o teor de ácidos graxos do leite na análise conjunta, experimento I (primavera) e II (verão).</w:t>
      </w:r>
    </w:p>
    <w:tbl>
      <w:tblPr>
        <w:tblStyle w:val="Tabelacomgrade"/>
        <w:tblW w:w="1071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2250"/>
        <w:gridCol w:w="899"/>
        <w:gridCol w:w="991"/>
        <w:gridCol w:w="900"/>
        <w:gridCol w:w="989"/>
        <w:gridCol w:w="901"/>
        <w:gridCol w:w="900"/>
        <w:gridCol w:w="989"/>
        <w:gridCol w:w="901"/>
        <w:gridCol w:w="989"/>
      </w:tblGrid>
      <w:tr>
        <w:trPr>
          <w:trHeight w:val="310" w:hRule="atLeast"/>
        </w:trPr>
        <w:tc>
          <w:tcPr>
            <w:tcW w:w="2250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b/>
                <w:kern w:val="0"/>
                <w:sz w:val="20"/>
                <w:szCs w:val="20"/>
                <w:lang w:val="pt-BR" w:eastAsia="en-US" w:bidi="ar-SA"/>
              </w:rPr>
              <w:t>Variaves</w:t>
            </w:r>
            <w:r>
              <w:rPr>
                <w:rFonts w:eastAsia="Helvetica Neue" w:cs="Arial" w:ascii="Arial" w:hAnsi="Arial"/>
                <w:kern w:val="0"/>
                <w:sz w:val="20"/>
                <w:szCs w:val="20"/>
                <w:vertAlign w:val="superscript"/>
                <w:lang w:val="pt-BR" w:eastAsia="en-US" w:bidi="ar-SA"/>
              </w:rPr>
              <w:t>1</w:t>
            </w: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 </w:t>
            </w:r>
          </w:p>
        </w:tc>
        <w:tc>
          <w:tcPr>
            <w:tcW w:w="189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  <w:vertAlign w:val="superscript"/>
              </w:rPr>
            </w:pPr>
            <w:r>
              <w:rPr>
                <w:rFonts w:eastAsia="Helvetica Neue" w:cs="Arial" w:ascii="Arial" w:hAnsi="Arial"/>
                <w:b/>
                <w:kern w:val="0"/>
                <w:sz w:val="20"/>
                <w:szCs w:val="20"/>
                <w:lang w:val="pt-BR" w:eastAsia="en-US" w:bidi="ar-SA"/>
              </w:rPr>
              <w:t>Análise conjunta</w:t>
            </w:r>
          </w:p>
        </w:tc>
        <w:tc>
          <w:tcPr>
            <w:tcW w:w="1889" w:type="dxa"/>
            <w:gridSpan w:val="2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Helvetica Neue" w:cs="Arial" w:ascii="Arial" w:hAnsi="Arial"/>
                <w:b/>
                <w:kern w:val="0"/>
                <w:sz w:val="20"/>
                <w:szCs w:val="20"/>
                <w:lang w:val="pt-BR" w:eastAsia="en-US" w:bidi="ar-SA"/>
              </w:rPr>
              <w:t>Exp. I</w:t>
            </w:r>
          </w:p>
        </w:tc>
        <w:tc>
          <w:tcPr>
            <w:tcW w:w="1801" w:type="dxa"/>
            <w:gridSpan w:val="2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Helvetica Neue" w:cs="Arial" w:ascii="Arial" w:hAnsi="Arial"/>
                <w:b/>
                <w:kern w:val="0"/>
                <w:sz w:val="20"/>
                <w:szCs w:val="20"/>
                <w:lang w:val="pt-BR" w:eastAsia="en-US" w:bidi="ar-SA"/>
              </w:rPr>
              <w:t>Exp. II</w:t>
            </w:r>
          </w:p>
        </w:tc>
        <w:tc>
          <w:tcPr>
            <w:tcW w:w="2879" w:type="dxa"/>
            <w:gridSpan w:val="3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eastAsia="Helvetica Neue" w:cs="Arial" w:ascii="Arial" w:hAnsi="Arial"/>
                <w:b/>
                <w:kern w:val="0"/>
                <w:sz w:val="20"/>
                <w:szCs w:val="20"/>
                <w:lang w:val="pt-BR" w:eastAsia="en-US" w:bidi="ar-SA"/>
              </w:rPr>
              <w:t>Valor de P</w:t>
            </w:r>
          </w:p>
        </w:tc>
      </w:tr>
      <w:tr>
        <w:trPr>
          <w:trHeight w:val="310" w:hRule="atLeast"/>
        </w:trPr>
        <w:tc>
          <w:tcPr>
            <w:tcW w:w="2250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</w:r>
          </w:p>
        </w:tc>
        <w:tc>
          <w:tcPr>
            <w:tcW w:w="89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TC</w:t>
            </w:r>
            <w:r>
              <w:rPr>
                <w:rFonts w:eastAsia="Helvetica Neue" w:cs="Arial" w:ascii="Arial" w:hAnsi="Arial"/>
                <w:kern w:val="0"/>
                <w:sz w:val="20"/>
                <w:szCs w:val="20"/>
                <w:vertAlign w:val="superscript"/>
                <w:lang w:val="pt-BR" w:eastAsia="en-US" w:bidi="ar-SA"/>
              </w:rPr>
              <w:t>2</w:t>
            </w: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TL</w:t>
            </w:r>
            <w:r>
              <w:rPr>
                <w:rFonts w:eastAsia="Helvetica Neue" w:cs="Arial" w:ascii="Arial" w:hAnsi="Arial"/>
                <w:kern w:val="0"/>
                <w:sz w:val="20"/>
                <w:szCs w:val="20"/>
                <w:vertAlign w:val="superscript"/>
                <w:lang w:val="pt-BR" w:eastAsia="en-US" w:bidi="ar-SA"/>
              </w:rPr>
              <w:t>3</w:t>
            </w: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TC</w:t>
            </w:r>
          </w:p>
        </w:tc>
        <w:tc>
          <w:tcPr>
            <w:tcW w:w="98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TL</w:t>
            </w: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TC</w:t>
            </w: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TL</w:t>
            </w:r>
          </w:p>
        </w:tc>
        <w:tc>
          <w:tcPr>
            <w:tcW w:w="98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Treat</w:t>
            </w: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Exp.</w:t>
            </w:r>
          </w:p>
        </w:tc>
        <w:tc>
          <w:tcPr>
            <w:tcW w:w="98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Trat*exp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C4:0</w:t>
            </w:r>
          </w:p>
        </w:tc>
        <w:tc>
          <w:tcPr>
            <w:tcW w:w="89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0,983</w:t>
            </w: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1,068</w:t>
            </w: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0,950</w:t>
            </w:r>
          </w:p>
        </w:tc>
        <w:tc>
          <w:tcPr>
            <w:tcW w:w="98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1,047</w:t>
            </w: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1,016</w:t>
            </w: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1,090</w:t>
            </w:r>
          </w:p>
        </w:tc>
        <w:tc>
          <w:tcPr>
            <w:tcW w:w="98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0,198</w:t>
            </w: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0,469</w:t>
            </w:r>
          </w:p>
        </w:tc>
        <w:tc>
          <w:tcPr>
            <w:tcW w:w="989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0,86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C6:0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0,906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0,908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0,977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0,996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0,835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0,821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0,966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0,013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0,74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C8:0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0,654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0,614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0,712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0,693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0,597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0,535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0,117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0,49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C10:0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1,938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1,697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2,194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2,072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1,681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1,321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0,005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0,23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C12:0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3,006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2,549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3,457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3,266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2,556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1,831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0,15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C13:0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0,083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0,082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0,104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0,100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0,062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0,063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0,878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0,64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C14:0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12,947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11,638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14,001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13,435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11,892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9,841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0,10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C14:1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0,833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0,698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0,814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0,659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0,851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0,737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0,056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0,507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0,77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C15:0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1,435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1,273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1,532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1,294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1,338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1,252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0,082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0,10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C16:0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31,693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27,393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32,853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29,582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30,532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25,203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0,01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C16:1 n7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2,004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1,699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1,754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1,552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2,253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1,845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0,08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C17:0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0,788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0,651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0,745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0,627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0,832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0,676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0,25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C17:1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0,240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0,197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0,289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0,241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0,191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0,152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0,62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C18:1 n7 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>t</w:t>
            </w: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11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2,082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3,739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2,670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4,039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1,494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3,438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0,082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0,55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C18:1 n9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20,013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23,794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17,277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19,399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24,549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28,189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0,26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C18:2 n6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 xml:space="preserve">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0,909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1,002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0,816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0,914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1,002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1,091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0,122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0,008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0,93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C18:2 n6 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>c</w:t>
            </w: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9, 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>t</w:t>
            </w: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12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0,095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0,163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0,090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0,137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0,101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0,188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0,133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0,33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ind w:right="-45" w:hanging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C18:2 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>c</w:t>
            </w: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9, 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>t</w:t>
            </w: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11 CLA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0,612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0,870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0,538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0,711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0,686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1,029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0,12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ind w:right="-148" w:hanging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C18:2 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>t</w:t>
            </w: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 xml:space="preserve">10, </w:t>
            </w:r>
            <w:r>
              <w:rPr>
                <w:rFonts w:cs="Arial" w:ascii="Arial" w:hAnsi="Arial"/>
                <w:i/>
                <w:kern w:val="0"/>
                <w:sz w:val="20"/>
                <w:szCs w:val="20"/>
                <w:lang w:val="pt-BR" w:eastAsia="en-US" w:bidi="ar-SA"/>
              </w:rPr>
              <w:t>c</w:t>
            </w: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12 CLA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0,031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0,048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0,038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0,063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0,048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0,410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C18:3 n3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0,383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0,589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0,431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0,726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0,335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0,451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&lt;0,000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C20:0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0,115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0,101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0,090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0,079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0,140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0,124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0,354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0,69</w:t>
            </w:r>
          </w:p>
        </w:tc>
      </w:tr>
      <w:tr>
        <w:trPr>
          <w:trHeight w:val="331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C20:3 n6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0,014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0,025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0,011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0,81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pt-BR" w:eastAsia="en-US" w:bidi="ar-SA"/>
              </w:rPr>
              <w:t>C20:4 n6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0,038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0,030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0,011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0,38</w:t>
            </w:r>
          </w:p>
        </w:tc>
      </w:tr>
      <w:tr>
        <w:trPr>
          <w:trHeight w:val="310" w:hRule="atLeast"/>
        </w:trPr>
        <w:tc>
          <w:tcPr>
            <w:tcW w:w="2250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C22:0</w:t>
            </w:r>
          </w:p>
        </w:tc>
        <w:tc>
          <w:tcPr>
            <w:tcW w:w="89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0,021</w:t>
            </w: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0,024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0,005</w:t>
            </w:r>
          </w:p>
        </w:tc>
        <w:tc>
          <w:tcPr>
            <w:tcW w:w="98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0,010</w:t>
            </w:r>
          </w:p>
        </w:tc>
        <w:tc>
          <w:tcPr>
            <w:tcW w:w="901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0,036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0,039</w:t>
            </w:r>
          </w:p>
        </w:tc>
        <w:tc>
          <w:tcPr>
            <w:tcW w:w="98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0,053</w:t>
            </w:r>
          </w:p>
        </w:tc>
        <w:tc>
          <w:tcPr>
            <w:tcW w:w="901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&lt;0,001</w:t>
            </w:r>
          </w:p>
        </w:tc>
        <w:tc>
          <w:tcPr>
            <w:tcW w:w="989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Helvetica Neue" w:cs="Arial" w:ascii="Arial" w:hAnsi="Arial"/>
                <w:kern w:val="0"/>
                <w:sz w:val="20"/>
                <w:szCs w:val="20"/>
                <w:lang w:val="pt-BR" w:eastAsia="en-US" w:bidi="ar-SA"/>
              </w:rPr>
              <w:t>0,72</w:t>
            </w:r>
          </w:p>
        </w:tc>
      </w:tr>
    </w:tbl>
    <w:p>
      <w:pPr>
        <w:pStyle w:val="Normal"/>
        <w:spacing w:before="0" w:after="0"/>
        <w:ind w:left="-709" w:hanging="0"/>
        <w:contextualSpacing/>
        <w:rPr>
          <w:rFonts w:ascii="Arial" w:hAnsi="Arial" w:cs="Arial"/>
          <w:sz w:val="20"/>
          <w:lang w:val="pt-BR"/>
        </w:rPr>
      </w:pPr>
      <w:r>
        <w:rPr>
          <w:rFonts w:cs="Arial" w:ascii="Arial" w:hAnsi="Arial"/>
          <w:sz w:val="20"/>
          <w:vertAlign w:val="superscript"/>
          <w:lang w:val="pt-BR"/>
        </w:rPr>
        <w:t>1</w:t>
      </w:r>
      <w:r>
        <w:rPr>
          <w:rFonts w:cs="Arial" w:ascii="Arial" w:hAnsi="Arial"/>
          <w:i/>
          <w:sz w:val="20"/>
          <w:lang w:val="pt-BR"/>
        </w:rPr>
        <w:t>c</w:t>
      </w:r>
      <w:r>
        <w:rPr>
          <w:rFonts w:cs="Arial" w:ascii="Arial" w:hAnsi="Arial"/>
          <w:sz w:val="20"/>
          <w:lang w:val="pt-BR"/>
        </w:rPr>
        <w:t xml:space="preserve"> = </w:t>
      </w:r>
      <w:r>
        <w:rPr>
          <w:rFonts w:cs="Arial" w:ascii="Arial" w:hAnsi="Arial"/>
          <w:i/>
          <w:sz w:val="20"/>
          <w:lang w:val="pt-BR"/>
        </w:rPr>
        <w:t>cis</w:t>
      </w:r>
      <w:r>
        <w:rPr>
          <w:rFonts w:cs="Arial" w:ascii="Arial" w:hAnsi="Arial"/>
          <w:sz w:val="20"/>
          <w:lang w:val="pt-BR"/>
        </w:rPr>
        <w:t xml:space="preserve">; </w:t>
      </w:r>
      <w:r>
        <w:rPr>
          <w:rFonts w:cs="Arial" w:ascii="Arial" w:hAnsi="Arial"/>
          <w:i/>
          <w:sz w:val="20"/>
          <w:lang w:val="pt-BR"/>
        </w:rPr>
        <w:t xml:space="preserve">t </w:t>
      </w:r>
      <w:r>
        <w:rPr>
          <w:rFonts w:cs="Arial" w:ascii="Arial" w:hAnsi="Arial"/>
          <w:sz w:val="20"/>
          <w:lang w:val="pt-BR"/>
        </w:rPr>
        <w:t xml:space="preserve">= </w:t>
      </w:r>
      <w:r>
        <w:rPr>
          <w:rFonts w:cs="Arial" w:ascii="Arial" w:hAnsi="Arial"/>
          <w:i/>
          <w:sz w:val="20"/>
          <w:lang w:val="pt-BR"/>
        </w:rPr>
        <w:t>trans</w:t>
      </w:r>
      <w:r>
        <w:rPr>
          <w:rFonts w:cs="Arial" w:ascii="Arial" w:hAnsi="Arial"/>
          <w:sz w:val="20"/>
          <w:lang w:val="pt-BR"/>
        </w:rPr>
        <w:t xml:space="preserve">; </w:t>
      </w:r>
      <w:r>
        <w:rPr>
          <w:rFonts w:cs="Arial" w:ascii="Arial" w:hAnsi="Arial"/>
          <w:sz w:val="20"/>
          <w:vertAlign w:val="superscript"/>
          <w:lang w:val="pt-BR"/>
        </w:rPr>
        <w:t>2</w:t>
      </w:r>
      <w:r>
        <w:rPr>
          <w:rFonts w:cs="Arial" w:ascii="Arial" w:hAnsi="Arial"/>
          <w:sz w:val="20"/>
          <w:lang w:val="pt-BR"/>
        </w:rPr>
        <w:t xml:space="preserve">tratamento controle; </w:t>
      </w:r>
      <w:r>
        <w:rPr>
          <w:rFonts w:cs="Arial" w:ascii="Arial" w:hAnsi="Arial"/>
          <w:sz w:val="20"/>
          <w:vertAlign w:val="superscript"/>
          <w:lang w:val="pt-BR"/>
        </w:rPr>
        <w:t>3</w:t>
      </w:r>
      <w:r>
        <w:rPr>
          <w:rFonts w:cs="Arial" w:ascii="Arial" w:hAnsi="Arial"/>
          <w:sz w:val="20"/>
          <w:lang w:val="pt-BR"/>
        </w:rPr>
        <w:t xml:space="preserve">tratamento óleo de linhaça. </w:t>
      </w:r>
    </w:p>
    <w:p>
      <w:pPr>
        <w:sectPr>
          <w:type w:val="nextPage"/>
          <w:pgSz w:w="11906" w:h="16838"/>
          <w:pgMar w:left="1417" w:right="1110" w:gutter="0" w:header="0" w:top="1417" w:footer="0" w:bottom="1134"/>
          <w:pgNumType w:fmt="decimal"/>
          <w:formProt w:val="false"/>
          <w:textDirection w:val="lrTb"/>
          <w:docGrid w:type="default" w:linePitch="299" w:charSpace="0"/>
        </w:sectPr>
      </w:pPr>
    </w:p>
    <w:p>
      <w:pPr>
        <w:pStyle w:val="Caption"/>
        <w:rPr>
          <w:b/>
          <w:b/>
          <w:i w:val="false"/>
          <w:i w:val="false"/>
          <w:iCs w:val="false"/>
          <w:color w:val="auto"/>
          <w:sz w:val="20"/>
          <w:szCs w:val="24"/>
          <w:lang w:val="pt-BR"/>
        </w:rPr>
      </w:pPr>
      <w:r>
        <w:rPr>
          <w:b/>
          <w:i w:val="false"/>
          <w:iCs w:val="false"/>
          <w:color w:val="auto"/>
          <w:sz w:val="20"/>
          <w:szCs w:val="24"/>
          <w:lang w:val="pt-BR"/>
        </w:rPr>
      </w:r>
    </w:p>
    <w:p>
      <w:pPr>
        <w:sectPr>
          <w:type w:val="continuous"/>
          <w:pgSz w:w="11906" w:h="16838"/>
          <w:pgMar w:left="1417" w:right="1110" w:gutter="0" w:header="0" w:top="1417" w:footer="0" w:bottom="1134"/>
          <w:formProt w:val="false"/>
          <w:textDirection w:val="lrTb"/>
          <w:docGrid w:type="default" w:linePitch="299" w:charSpace="0"/>
        </w:sectPr>
      </w:pPr>
    </w:p>
    <w:p>
      <w:pPr>
        <w:pStyle w:val="LOnormal"/>
        <w:jc w:val="both"/>
        <w:rPr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     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                  </w:t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O aumento de ômega-3 (C18:3 n3) no leite de vacas suplementadas com OL deve-se à maior quantidade de ácido α-linolênico fornecida na dieta (LOOR et al. 2005). A suplementação com óleos insaturados induz uma redução na síntese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de novo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e o aumento de AG C18 no leite, pela redução na produção de ácidos graxos voláteis (AGV) no rúmen por bactérias, principalmente acetato e butirato, precursores da síntese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de novo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na glândula mamária (MAPATO et al. 2010). A diminuição de C10:0 - C17:1 pode ser devida ao papel inibidor de vários isômeros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 xml:space="preserve">trans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C18 produzidos no rúmen na síntese de novo de AG (GLASSER et al. 2008). Houve também um aumento na porcentagem de C18 em relação os AGs de cadeia curta e média, como resultado da maior absorção e secreção de AGs derivados da dieta ou do rúmen (GLASSER et al. 2008). O aumento de C18:3 n3, CLAs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9,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11 e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10,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12 no leite, em detrimento a suplementação com OL, possuem implicações alimentares funcionais, como propriedades anticarcinogênicas e outros benefícios potenciais à saúde (BAUMAN et al. 2008).</w:t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Conclusão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: A suplementação de 400 g/dia de OL em uma dieta à base de forragem de vacas leiteiras modula o perfil de AG do leite, melhorando as características nutricionais com potenciais benefícios à saúde, como o AG ômega-3 (C18:3 n3) e os CLAs C18: 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9,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11 e C18:2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t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10,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>c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12.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Referências: </w:t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BAUMAN D.E.; PERFIELD J.W.; HARVATINE K.J.; BAUMGARD L.H. Regulation of fat synthesis by conjugated linoleic acid: Lactation and the ruminant model. Journal of Nutrition 138:403–409. 2008. </w:t>
      </w:r>
      <w:hyperlink r:id="rId4">
        <w:r>
          <w:rPr>
            <w:rStyle w:val="LinkdaInternet"/>
            <w:rFonts w:cs="Arial" w:ascii="Arial" w:hAnsi="Arial"/>
            <w:sz w:val="22"/>
            <w:szCs w:val="22"/>
          </w:rPr>
          <w:t>https://doi.org/10.1093/jn/138.2.403</w:t>
        </w:r>
      </w:hyperlink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GLASSER F.; FERLAY A.; CHILLIARD Y. Oilseed lipid supplements and fatty acid composition of cow milk: A meta-analysis. Journal of Dairy Science 91:4687–4703. 2008. </w:t>
      </w:r>
      <w:hyperlink r:id="rId5">
        <w:r>
          <w:rPr>
            <w:rStyle w:val="LinkdaInternet"/>
            <w:rFonts w:cs="Arial" w:ascii="Arial" w:hAnsi="Arial"/>
            <w:sz w:val="22"/>
            <w:szCs w:val="22"/>
          </w:rPr>
          <w:t>https://doi.org/10.3168/jds.2008-0987</w:t>
        </w:r>
      </w:hyperlink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LOOR J.J.; FERLAY A.; OLLIER A.; DOREAU M.; CHILLIARD Y. Relationship among trans and conjugated fatty acids and bovine milk fat yield due to dietary concentrate and linseed oil. Journal of Dairy Science 88:726–740. 2005. </w:t>
      </w:r>
      <w:hyperlink r:id="rId6">
        <w:r>
          <w:rPr>
            <w:rStyle w:val="LinkdaInternet"/>
            <w:rFonts w:cs="Arial" w:ascii="Arial" w:hAnsi="Arial"/>
            <w:sz w:val="22"/>
            <w:szCs w:val="22"/>
          </w:rPr>
          <w:t>https://doi.org/10.3168/jds.S0022-0302(05)72736-3</w:t>
        </w:r>
      </w:hyperlink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MAPATO C.; WANAPAT M.; CHERDTHONG A. Effects of urea treatment of straw and dietary level of vegetable oil on lactating dairy cows. Tropical Animal Health and Production 42:1635–1642. 2010.https://doi.org/10.1007/s11250-010-9613-3</w:t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PETIT H.V. Review: Feed intake, milk production and milk composition of dairy cows fed flaxseed.  Canadian Journal of Animal Science. p 115-127. 2010</w:t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Onormal"/>
        <w:ind w:righ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PALMQUIST D.L.; JENKINS T.C. A 100-Year Review: Fat feeding of dairy cows. Journal of Dairy Science 100:10061–10077. 2017. https://doi.org/10.3168/jds.2017-12924</w:t>
      </w:r>
    </w:p>
    <w:sectPr>
      <w:headerReference w:type="default" r:id="rId7"/>
      <w:footerReference w:type="default" r:id="rId8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e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pBdr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b43912"/>
    <w:rPr>
      <w:rFonts w:eastAsia="Times New Roman"/>
      <w:sz w:val="24"/>
      <w:szCs w:val="24"/>
      <w:lang w:val="pt-P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501c0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1"/>
    <w:qFormat/>
    <w:rsid w:val="00b43912"/>
    <w:pPr>
      <w:widowControl w:val="false"/>
      <w:pBdr/>
    </w:pPr>
    <w:rPr>
      <w:rFonts w:eastAsia="Times New Roman"/>
      <w:lang w:val="pt-PT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customStyle="1">
    <w:name w:val="LO-normal"/>
    <w:qFormat/>
    <w:pPr>
      <w:widowControl/>
      <w:pBdr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en-US" w:bidi="ar-SA"/>
    </w:rPr>
  </w:style>
  <w:style w:type="paragraph" w:styleId="CabealhoeRodap" w:customStyle="1">
    <w:name w:val="Cabeçalho e Rodapé"/>
    <w:qFormat/>
    <w:pPr>
      <w:widowControl/>
      <w:pBdr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en-US" w:eastAsia="en-US" w:bidi="ar-SA"/>
      <w14:textOutline w14:w="0" w14:cap="flat" w14:cmpd="sng" w14:algn="ctr">
        <w14:noFill/>
        <w14:prstDash w14:val="solid"/>
        <w14:bevel/>
      </w14:textOutline>
    </w:rPr>
  </w:style>
  <w:style w:type="paragraph" w:styleId="Caption">
    <w:name w:val="caption"/>
    <w:basedOn w:val="Normal"/>
    <w:next w:val="Normal"/>
    <w:uiPriority w:val="35"/>
    <w:unhideWhenUsed/>
    <w:qFormat/>
    <w:rsid w:val="00a42b1f"/>
    <w:pPr>
      <w:widowControl w:val="false"/>
      <w:pBdr/>
      <w:spacing w:before="0" w:after="200"/>
    </w:pPr>
    <w:rPr>
      <w:rFonts w:eastAsia="Times New Roman"/>
      <w:i/>
      <w:iCs/>
      <w:color w:val="A7A7A7" w:themeColor="text2"/>
      <w:sz w:val="18"/>
      <w:szCs w:val="18"/>
      <w:lang w:val="pt-PT"/>
    </w:rPr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d6a7b"/>
    <w:rPr>
      <w:rFonts w:asciiTheme="minorHAnsi" w:hAnsiTheme="minorHAnsi" w:eastAsiaTheme="minorHAnsi" w:cstheme="minorBidi"/>
      <w:lang w:val="pt-BR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andre.thaler@udesc.br" TargetMode="External"/><Relationship Id="rId4" Type="http://schemas.openxmlformats.org/officeDocument/2006/relationships/hyperlink" Target="https://doi.org/10.1093/jn/138.2.403" TargetMode="External"/><Relationship Id="rId5" Type="http://schemas.openxmlformats.org/officeDocument/2006/relationships/hyperlink" Target="https://doi.org/10.3168/jds.2008-0987" TargetMode="External"/><Relationship Id="rId6" Type="http://schemas.openxmlformats.org/officeDocument/2006/relationships/hyperlink" Target="https://doi.org/10.3168/jds.S0022-0302(05)72736-3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5BACE-0B4D-4F8F-A230-C96146D09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LibreOffice/7.3.2.2$Windows_X86_64 LibreOffice_project/49f2b1bff42cfccbd8f788c8dc32c1c309559be0</Application>
  <AppVersion>15.0000</AppVersion>
  <Pages>5</Pages>
  <Words>1520</Words>
  <Characters>7805</Characters>
  <CharactersWithSpaces>9082</CharactersWithSpaces>
  <Paragraphs>281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2023-09-30T22:29:00Z</dcterms:created>
  <dc:creator>Usuário</dc:creator>
  <dc:description/>
  <dc:language>pt-BR</dc:language>
  <cp:lastModifiedBy>ROBERTO KAPPES</cp:lastModifiedBy>
  <dcterms:modified xsi:type="dcterms:W3CDTF">2023-10-01T00:35:00Z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