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pBdr/>
        <w:shd w:val="clear" w:fill="auto"/>
        <w:spacing w:lineRule="auto" w:line="276" w:before="0" w:after="0"/>
        <w:ind w:left="0" w:right="280" w:hanging="0"/>
        <w:jc w:val="center"/>
        <w:rPr>
          <w:rFonts w:ascii="Arial" w:hAnsi="Arial" w:eastAsia="Arial" w:cs="Arial"/>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sz w:val="28"/>
          <w:szCs w:val="28"/>
        </w:rPr>
        <w:t>ÁRVORES NA PASTAGEM NÃO COMPROMETEM A PRODUÇÃO DE FORRAGEM</w:t>
      </w:r>
    </w:p>
    <w:p>
      <w:pPr>
        <w:pStyle w:val="Normal1"/>
        <w:keepNext w:val="false"/>
        <w:keepLines w:val="false"/>
        <w:pageBreakBefore w:val="false"/>
        <w:widowControl/>
        <w:pBdr/>
        <w:shd w:val="clear" w:fill="auto"/>
        <w:spacing w:lineRule="auto" w:line="240" w:before="0" w:after="0"/>
        <w:ind w:left="0" w:right="284" w:hanging="0"/>
        <w:jc w:val="center"/>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284" w:hanging="0"/>
        <w:jc w:val="center"/>
        <w:rPr>
          <w:rFonts w:ascii="Arial" w:hAnsi="Arial" w:eastAsia="Arial" w:cs="Arial"/>
          <w:b w:val="false"/>
          <w:b w:val="false"/>
          <w:i w:val="false"/>
          <w:i w:val="false"/>
          <w:caps w:val="false"/>
          <w:smallCaps w:val="false"/>
          <w:strike w:val="false"/>
          <w:dstrike w:val="false"/>
          <w:color w:val="000000"/>
          <w:position w:val="0"/>
          <w:sz w:val="20"/>
          <w:sz w:val="20"/>
          <w:szCs w:val="20"/>
          <w:u w:val="none"/>
          <w:shd w:fill="auto" w:val="clear"/>
          <w:vertAlign w:val="baseline"/>
        </w:rPr>
      </w:pPr>
      <w:r>
        <w:rPr>
          <w:rFonts w:eastAsia="Arial" w:cs="Arial" w:ascii="Arial" w:hAnsi="Arial"/>
          <w:sz w:val="20"/>
          <w:szCs w:val="20"/>
          <w:u w:val="single"/>
        </w:rPr>
        <w:t>Cristian Specht Dewes</w:t>
      </w:r>
      <w:r>
        <w:rPr>
          <w:rFonts w:eastAsia="Arial" w:cs="Arial" w:ascii="Arial" w:hAnsi="Arial"/>
          <w:b w:val="false"/>
          <w:i w:val="false"/>
          <w:caps w:val="false"/>
          <w:smallCaps w:val="false"/>
          <w:strike w:val="false"/>
          <w:dstrike w:val="false"/>
          <w:color w:val="000000"/>
          <w:sz w:val="20"/>
          <w:szCs w:val="20"/>
          <w:u w:val="single"/>
          <w:shd w:fill="auto" w:val="clear"/>
          <w:vertAlign w:val="superscript"/>
        </w:rPr>
        <w:t>1</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Arial" w:cs="Arial" w:ascii="Arial" w:hAnsi="Arial"/>
          <w:sz w:val="20"/>
          <w:szCs w:val="20"/>
        </w:rPr>
        <w:t>Raphael Ramon Buch</w:t>
      </w:r>
      <w:r>
        <w:rPr>
          <w:rFonts w:eastAsia="Arial" w:cs="Arial" w:ascii="Arial" w:hAnsi="Arial"/>
          <w:sz w:val="20"/>
          <w:szCs w:val="20"/>
          <w:vertAlign w:val="superscript"/>
        </w:rPr>
        <w:t>1</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Abdon </w:t>
      </w:r>
      <w:r>
        <w:rPr>
          <w:rFonts w:eastAsia="Arial" w:cs="Arial" w:ascii="Arial" w:hAnsi="Arial"/>
          <w:sz w:val="20"/>
          <w:szCs w:val="20"/>
        </w:rPr>
        <w:t xml:space="preserve">Luiz Schmitt Filho, </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Daniele </w:t>
      </w:r>
      <w:r>
        <w:rPr>
          <w:rFonts w:eastAsia="Arial" w:cs="Arial" w:ascii="Arial" w:hAnsi="Arial"/>
          <w:sz w:val="20"/>
          <w:szCs w:val="20"/>
        </w:rPr>
        <w:t>Cristina</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da Silva </w:t>
      </w:r>
      <w:r>
        <w:rPr>
          <w:rFonts w:eastAsia="Arial" w:cs="Arial" w:ascii="Arial" w:hAnsi="Arial"/>
          <w:sz w:val="20"/>
          <w:szCs w:val="20"/>
        </w:rPr>
        <w:t>K</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azam</w:t>
      </w:r>
      <w:r>
        <w:rPr>
          <w:rFonts w:eastAsia="Arial" w:cs="Arial" w:ascii="Arial" w:hAnsi="Arial"/>
          <w:sz w:val="20"/>
          <w:szCs w:val="20"/>
        </w:rPr>
        <w:t>a</w:t>
      </w:r>
      <w:r>
        <w:rPr>
          <w:rFonts w:eastAsia="Arial" w:cs="Arial" w:ascii="Arial" w:hAnsi="Arial"/>
          <w:sz w:val="20"/>
          <w:szCs w:val="20"/>
          <w:vertAlign w:val="superscript"/>
        </w:rPr>
        <w:t>1</w:t>
      </w:r>
      <w:r>
        <w:rPr>
          <w:rFonts w:eastAsia="Arial" w:cs="Arial" w:ascii="Arial" w:hAnsi="Arial"/>
          <w:sz w:val="20"/>
          <w:szCs w:val="20"/>
        </w:rPr>
        <w:t>, Luiz Carlos Pinheiro Machado Filho</w:t>
      </w:r>
      <w:r>
        <w:rPr>
          <w:rFonts w:eastAsia="Arial" w:cs="Arial" w:ascii="Arial" w:hAnsi="Arial"/>
          <w:sz w:val="20"/>
          <w:szCs w:val="20"/>
          <w:vertAlign w:val="superscript"/>
        </w:rPr>
        <w:t>1</w:t>
      </w:r>
      <w:r>
        <w:rPr>
          <w:rFonts w:eastAsia="Arial" w:cs="Arial" w:ascii="Arial" w:hAnsi="Arial"/>
          <w:sz w:val="20"/>
          <w:szCs w:val="20"/>
        </w:rPr>
        <w:t>,  Ana Carolina Zappas</w:t>
      </w:r>
      <w:r>
        <w:rPr>
          <w:rFonts w:eastAsia="Arial" w:cs="Arial" w:ascii="Arial" w:hAnsi="Arial"/>
          <w:sz w:val="20"/>
          <w:szCs w:val="20"/>
          <w:vertAlign w:val="superscript"/>
        </w:rPr>
        <w:t>1</w:t>
      </w:r>
      <w:r>
        <w:rPr>
          <w:rFonts w:eastAsia="Arial" w:cs="Arial" w:ascii="Arial" w:hAnsi="Arial"/>
          <w:sz w:val="20"/>
          <w:szCs w:val="20"/>
        </w:rPr>
        <w:t>, Willian da Silva de Oliveira</w:t>
      </w:r>
      <w:r>
        <w:rPr>
          <w:rFonts w:eastAsia="Arial" w:cs="Arial" w:ascii="Arial" w:hAnsi="Arial"/>
          <w:sz w:val="20"/>
          <w:szCs w:val="20"/>
          <w:vertAlign w:val="superscript"/>
        </w:rPr>
        <w:t>1</w:t>
      </w:r>
    </w:p>
    <w:p>
      <w:pPr>
        <w:pStyle w:val="Normal1"/>
        <w:keepNext w:val="false"/>
        <w:keepLines w:val="false"/>
        <w:pageBreakBefore w:val="false"/>
        <w:widowControl/>
        <w:pBdr/>
        <w:shd w:val="clear" w:fill="auto"/>
        <w:spacing w:lineRule="auto" w:line="240" w:before="0" w:after="0"/>
        <w:ind w:left="0" w:right="284" w:hanging="0"/>
        <w:jc w:val="center"/>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284" w:hanging="0"/>
        <w:jc w:val="center"/>
        <w:rPr>
          <w:rFonts w:ascii="Arial" w:hAnsi="Arial" w:eastAsia="Arial" w:cs="Arial"/>
          <w:sz w:val="20"/>
          <w:szCs w:val="20"/>
        </w:rPr>
      </w:pPr>
      <w:r>
        <w:rPr>
          <w:rFonts w:eastAsia="Arial" w:cs="Arial" w:ascii="Arial" w:hAnsi="Arial"/>
          <w:b w:val="false"/>
          <w:i w:val="false"/>
          <w:caps w:val="false"/>
          <w:smallCaps w:val="false"/>
          <w:strike w:val="false"/>
          <w:dstrike w:val="false"/>
          <w:color w:val="000000"/>
          <w:sz w:val="20"/>
          <w:szCs w:val="20"/>
          <w:u w:val="none"/>
          <w:shd w:fill="auto" w:val="clear"/>
          <w:vertAlign w:val="superscript"/>
        </w:rPr>
        <w:t>1</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w:t>
      </w:r>
      <w:r>
        <w:rPr>
          <w:rFonts w:eastAsia="Arial" w:cs="Arial" w:ascii="Arial" w:hAnsi="Arial"/>
          <w:sz w:val="20"/>
          <w:szCs w:val="20"/>
        </w:rPr>
        <w:t>Universidade Federal de Santa Catarina</w:t>
      </w:r>
      <w:r>
        <w:rPr>
          <w:rFonts w:eastAsia="Arial" w:cs="Arial" w:ascii="Arial" w:hAnsi="Arial"/>
          <w:b w:val="false"/>
          <w:i w:val="false"/>
          <w:caps w:val="false"/>
          <w:smallCaps w:val="false"/>
          <w:strike w:val="false"/>
          <w:dstrike w:val="false"/>
          <w:color w:val="000000"/>
          <w:position w:val="0"/>
          <w:sz w:val="20"/>
          <w:sz w:val="20"/>
          <w:szCs w:val="20"/>
          <w:u w:val="none"/>
          <w:shd w:fill="auto" w:val="clear"/>
          <w:vertAlign w:val="baseline"/>
        </w:rPr>
        <w:t xml:space="preserve">, E-mail: </w:t>
      </w:r>
      <w:hyperlink r:id="rId2">
        <w:r>
          <w:rPr>
            <w:rFonts w:eastAsia="Arial" w:cs="Arial" w:ascii="Arial" w:hAnsi="Arial"/>
            <w:color w:val="1155CC"/>
            <w:sz w:val="20"/>
            <w:szCs w:val="20"/>
            <w:u w:val="single"/>
          </w:rPr>
          <w:t>cristiandewes@hotmail.com</w:t>
        </w:r>
      </w:hyperlink>
    </w:p>
    <w:p>
      <w:pPr>
        <w:pStyle w:val="Normal1"/>
        <w:keepNext w:val="false"/>
        <w:keepLines w:val="false"/>
        <w:pageBreakBefore w:val="false"/>
        <w:widowControl/>
        <w:pBdr/>
        <w:shd w:val="clear" w:fill="auto"/>
        <w:spacing w:lineRule="auto" w:line="240" w:before="0" w:after="0"/>
        <w:ind w:left="0" w:right="284" w:hanging="0"/>
        <w:jc w:val="center"/>
        <w:rPr>
          <w:rFonts w:ascii="Arial" w:hAnsi="Arial" w:eastAsia="Arial" w:cs="Arial"/>
          <w:sz w:val="20"/>
          <w:szCs w:val="20"/>
        </w:rPr>
      </w:pPr>
      <w:r>
        <w:rPr>
          <w:rFonts w:eastAsia="Arial" w:cs="Arial" w:ascii="Arial" w:hAnsi="Arial"/>
          <w:sz w:val="20"/>
          <w:szCs w:val="20"/>
        </w:rPr>
      </w:r>
    </w:p>
    <w:p>
      <w:pPr>
        <w:pStyle w:val="Normal1"/>
        <w:keepNext w:val="false"/>
        <w:keepLines w:val="false"/>
        <w:pageBreakBefore w:val="false"/>
        <w:widowControl/>
        <w:pBdr/>
        <w:shd w:val="clear" w:fill="auto"/>
        <w:spacing w:lineRule="auto" w:line="240" w:before="0" w:after="0"/>
        <w:ind w:left="0" w:right="0" w:hanging="0"/>
        <w:jc w:val="both"/>
        <w:rPr>
          <w:rFonts w:ascii="Cambria" w:hAnsi="Cambria" w:eastAsia="Cambria" w:cs="Cambria"/>
          <w:b/>
          <w:b/>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Contribuição para a sociedade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A integração pecuária-floresta visa a harmonia entre ambos sistemas mutuamente, proporcionando qualidade ao solo e forrageiras e bem-estar aos animais, resultando em uma produção sustentável. Porém, árvores podem ocupar áreas da pastagem e, podem dificultar a adoção do sistema. Este trabalho objetivou estimar a produção da massa forrageira por hectare em 18 piquetes com 2500m² cada, desprovidos de árvores ou com 5 ou 10% da área de pastagem com núcleos arbóreos com espécies diversas. Foram realizadas coletas no entorno e internúcleos para a avaliação de produção. Mesmo com menor área útil para crescimento, a produção de massa verde (3922,3 kg/ha) e massa seca (1233,3 kg/ha) mantiveram iguais nas áreas avaliadas. Esses resultados demonstram que produtores podem adotar sistemas a base de pasto com árvores na pastagem sem prejudicar a produção de massa de pasto e, oferecendo também conforto aos animais, e prover serviços ecossistêmicos. </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Palavras-chave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núcleos arbóreos, </w:t>
      </w:r>
      <w:r>
        <w:rPr>
          <w:rFonts w:eastAsia="Arial" w:cs="Arial" w:ascii="Arial" w:hAnsi="Arial"/>
          <w:sz w:val="22"/>
          <w:szCs w:val="22"/>
        </w:rPr>
        <w:t>PRV</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serviços ecossistêmicos, </w:t>
      </w:r>
      <w:r>
        <w:rPr>
          <w:rFonts w:eastAsia="Arial" w:cs="Arial" w:ascii="Arial" w:hAnsi="Arial"/>
          <w:sz w:val="22"/>
          <w:szCs w:val="22"/>
        </w:rPr>
        <w:t>silvipastoril.</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Introdução: </w:t>
      </w:r>
      <w:r>
        <w:rPr>
          <w:rFonts w:eastAsia="Arial" w:cs="Arial" w:ascii="Arial" w:hAnsi="Arial"/>
          <w:sz w:val="22"/>
          <w:szCs w:val="22"/>
        </w:rPr>
        <w:t xml:space="preserve">O sistema silvipastoril consiste na integração de pastagens e árvores na mesma área, que buscam oferecer, para as forragens e os animais, condições favoráveis para que expressam seu máximo potencial produtivo, além da importância na captação de carbono na vida da microbiota do solo. Os núcleos arbóreos (múltiplas árvores no formato de bosque) visam diversos benefícios ao meio onde são inseridos, como restauração de áreas florestais, benefícios físicos, químicos e biológicos ao solo (BATTISTI et al., 2018). No entanto, muitas vezes, os produtores têm ressalvas em implantar árvores na pastagem, talvez, pela disputa com área de pasto e por entender que a radiação solar, a qual tem papel direto no crescimento da forragens, é afetada pelo sombreamento das árvores (BOSI et al., 2014). Dessa forma, o presente trabalho objetiva avaliar a quantidade de massa produzida na área útil de pasto, em piquetes desprovidos de árvores e com 5 ou 10% da área ocupada por núcleos arbóreos. </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Material e métodos: </w:t>
      </w:r>
      <w:r>
        <w:rPr>
          <w:rFonts w:eastAsia="Arial" w:cs="Arial" w:ascii="Arial" w:hAnsi="Arial"/>
          <w:sz w:val="22"/>
          <w:szCs w:val="22"/>
        </w:rPr>
        <w:t xml:space="preserve">A pesquisa foi realizada no biotério de bovinos da Universidade Federal de Santa Catarina, Florianópolis em uma área sob manejo de Pastoreio Racional Voisin no período de agosto de 2021 a maio de 2022. Na área de pasto naturalizado, as principais espécies identificadas são </w:t>
      </w:r>
      <w:r>
        <w:rPr>
          <w:rFonts w:eastAsia="Arial" w:cs="Arial" w:ascii="Arial" w:hAnsi="Arial"/>
          <w:i/>
          <w:sz w:val="22"/>
          <w:szCs w:val="22"/>
        </w:rPr>
        <w:t>Andropogon lateralis Nees</w:t>
      </w:r>
      <w:r>
        <w:rPr>
          <w:rFonts w:eastAsia="Arial" w:cs="Arial" w:ascii="Arial" w:hAnsi="Arial"/>
          <w:sz w:val="22"/>
          <w:szCs w:val="22"/>
        </w:rPr>
        <w:t xml:space="preserve">, </w:t>
      </w:r>
      <w:r>
        <w:rPr>
          <w:rFonts w:eastAsia="Arial" w:cs="Arial" w:ascii="Arial" w:hAnsi="Arial"/>
          <w:i/>
          <w:sz w:val="22"/>
          <w:szCs w:val="22"/>
        </w:rPr>
        <w:t>Axonopus affinis Chase</w:t>
      </w:r>
      <w:r>
        <w:rPr>
          <w:rFonts w:eastAsia="Arial" w:cs="Arial" w:ascii="Arial" w:hAnsi="Arial"/>
          <w:sz w:val="22"/>
          <w:szCs w:val="22"/>
        </w:rPr>
        <w:t xml:space="preserve">, </w:t>
      </w:r>
      <w:r>
        <w:rPr>
          <w:rFonts w:eastAsia="Arial" w:cs="Arial" w:ascii="Arial" w:hAnsi="Arial"/>
          <w:i/>
          <w:sz w:val="22"/>
          <w:szCs w:val="22"/>
        </w:rPr>
        <w:t>Axonopus obtusifolius Raddi eIschaemum minus J</w:t>
      </w:r>
      <w:r>
        <w:rPr>
          <w:rFonts w:eastAsia="Arial" w:cs="Arial" w:ascii="Arial" w:hAnsi="Arial"/>
          <w:sz w:val="22"/>
          <w:szCs w:val="22"/>
        </w:rPr>
        <w:t xml:space="preserve">. </w:t>
      </w:r>
      <w:r>
        <w:rPr>
          <w:rFonts w:eastAsia="Arial" w:cs="Arial" w:ascii="Arial" w:hAnsi="Arial"/>
          <w:i/>
          <w:sz w:val="22"/>
          <w:szCs w:val="22"/>
        </w:rPr>
        <w:t>Presl</w:t>
      </w:r>
      <w:r>
        <w:rPr>
          <w:rFonts w:eastAsia="Arial" w:cs="Arial" w:ascii="Arial" w:hAnsi="Arial"/>
          <w:sz w:val="22"/>
          <w:szCs w:val="22"/>
        </w:rPr>
        <w:t xml:space="preserve"> da família </w:t>
      </w:r>
      <w:r>
        <w:rPr>
          <w:rFonts w:eastAsia="Arial" w:cs="Arial" w:ascii="Arial" w:hAnsi="Arial"/>
          <w:i/>
          <w:sz w:val="22"/>
          <w:szCs w:val="22"/>
        </w:rPr>
        <w:t>Poaceae</w:t>
      </w:r>
      <w:r>
        <w:rPr>
          <w:rFonts w:eastAsia="Arial" w:cs="Arial" w:ascii="Arial" w:hAnsi="Arial"/>
          <w:sz w:val="22"/>
          <w:szCs w:val="22"/>
        </w:rPr>
        <w:t xml:space="preserve">; </w:t>
      </w:r>
      <w:r>
        <w:rPr>
          <w:rFonts w:eastAsia="Arial" w:cs="Arial" w:ascii="Arial" w:hAnsi="Arial"/>
          <w:i/>
          <w:sz w:val="22"/>
          <w:szCs w:val="22"/>
        </w:rPr>
        <w:t xml:space="preserve">Eleocharis maculosa </w:t>
      </w:r>
      <w:r>
        <w:rPr>
          <w:rFonts w:eastAsia="Arial" w:cs="Arial" w:ascii="Arial" w:hAnsi="Arial"/>
          <w:sz w:val="22"/>
          <w:szCs w:val="22"/>
        </w:rPr>
        <w:t xml:space="preserve">(Vahl) </w:t>
      </w:r>
      <w:r>
        <w:rPr>
          <w:rFonts w:eastAsia="Arial" w:cs="Arial" w:ascii="Arial" w:hAnsi="Arial"/>
          <w:i/>
          <w:sz w:val="22"/>
          <w:szCs w:val="22"/>
        </w:rPr>
        <w:t>Roe</w:t>
      </w:r>
      <w:r>
        <w:rPr>
          <w:rFonts w:eastAsia="Arial" w:cs="Arial" w:ascii="Arial" w:hAnsi="Arial"/>
          <w:sz w:val="22"/>
          <w:szCs w:val="22"/>
        </w:rPr>
        <w:t xml:space="preserve">m. &amp; Schult, Rhynchospora holoschoenoides Heiter, </w:t>
      </w:r>
      <w:r>
        <w:rPr>
          <w:rFonts w:eastAsia="Arial" w:cs="Arial" w:ascii="Arial" w:hAnsi="Arial"/>
          <w:i/>
          <w:sz w:val="22"/>
          <w:szCs w:val="22"/>
        </w:rPr>
        <w:t>Rhynchospora tenuis Link</w:t>
      </w:r>
      <w:r>
        <w:rPr>
          <w:rFonts w:eastAsia="Arial" w:cs="Arial" w:ascii="Arial" w:hAnsi="Arial"/>
          <w:sz w:val="22"/>
          <w:szCs w:val="22"/>
        </w:rPr>
        <w:t xml:space="preserve"> da família </w:t>
      </w:r>
      <w:r>
        <w:rPr>
          <w:rFonts w:eastAsia="Arial" w:cs="Arial" w:ascii="Arial" w:hAnsi="Arial"/>
          <w:i/>
          <w:sz w:val="22"/>
          <w:szCs w:val="22"/>
        </w:rPr>
        <w:t>Cyperaceae</w:t>
      </w:r>
      <w:r>
        <w:rPr>
          <w:rFonts w:eastAsia="Arial" w:cs="Arial" w:ascii="Arial" w:hAnsi="Arial"/>
          <w:sz w:val="22"/>
          <w:szCs w:val="22"/>
        </w:rPr>
        <w:t xml:space="preserve">; </w:t>
      </w:r>
      <w:r>
        <w:rPr>
          <w:rFonts w:eastAsia="Arial" w:cs="Arial" w:ascii="Arial" w:hAnsi="Arial"/>
          <w:i/>
          <w:sz w:val="22"/>
          <w:szCs w:val="22"/>
        </w:rPr>
        <w:t>Juncus tenuis Willd</w:t>
      </w:r>
      <w:r>
        <w:rPr>
          <w:rFonts w:eastAsia="Arial" w:cs="Arial" w:ascii="Arial" w:hAnsi="Arial"/>
          <w:sz w:val="22"/>
          <w:szCs w:val="22"/>
        </w:rPr>
        <w:t xml:space="preserve">. da família </w:t>
      </w:r>
      <w:r>
        <w:rPr>
          <w:rFonts w:eastAsia="Arial" w:cs="Arial" w:ascii="Arial" w:hAnsi="Arial"/>
          <w:i/>
          <w:sz w:val="22"/>
          <w:szCs w:val="22"/>
        </w:rPr>
        <w:t>Juncaceae;</w:t>
      </w:r>
      <w:r>
        <w:rPr>
          <w:rFonts w:eastAsia="Arial" w:cs="Arial" w:ascii="Arial" w:hAnsi="Arial"/>
          <w:sz w:val="22"/>
          <w:szCs w:val="22"/>
        </w:rPr>
        <w:t xml:space="preserve"> </w:t>
      </w:r>
      <w:r>
        <w:rPr>
          <w:rFonts w:eastAsia="Arial" w:cs="Arial" w:ascii="Arial" w:hAnsi="Arial"/>
          <w:i/>
          <w:sz w:val="22"/>
          <w:szCs w:val="22"/>
        </w:rPr>
        <w:t>Desmodium adscendens</w:t>
      </w:r>
      <w:r>
        <w:rPr>
          <w:rFonts w:eastAsia="Arial" w:cs="Arial" w:ascii="Arial" w:hAnsi="Arial"/>
          <w:sz w:val="22"/>
          <w:szCs w:val="22"/>
        </w:rPr>
        <w:t xml:space="preserve"> (Sw.) </w:t>
      </w:r>
      <w:r>
        <w:rPr>
          <w:rFonts w:eastAsia="Arial" w:cs="Arial" w:ascii="Arial" w:hAnsi="Arial"/>
          <w:i/>
          <w:sz w:val="22"/>
          <w:szCs w:val="22"/>
        </w:rPr>
        <w:t>DC</w:t>
      </w:r>
      <w:r>
        <w:rPr>
          <w:rFonts w:eastAsia="Arial" w:cs="Arial" w:ascii="Arial" w:hAnsi="Arial"/>
          <w:sz w:val="22"/>
          <w:szCs w:val="22"/>
        </w:rPr>
        <w:t xml:space="preserve">. e </w:t>
      </w:r>
      <w:r>
        <w:rPr>
          <w:rFonts w:eastAsia="Arial" w:cs="Arial" w:ascii="Arial" w:hAnsi="Arial"/>
          <w:i/>
          <w:sz w:val="22"/>
          <w:szCs w:val="22"/>
        </w:rPr>
        <w:t>Desmodium incanum DC</w:t>
      </w:r>
      <w:r>
        <w:rPr>
          <w:rFonts w:eastAsia="Arial" w:cs="Arial" w:ascii="Arial" w:hAnsi="Arial"/>
          <w:sz w:val="22"/>
          <w:szCs w:val="22"/>
        </w:rPr>
        <w:t xml:space="preserve">. da família </w:t>
      </w:r>
      <w:r>
        <w:rPr>
          <w:rFonts w:eastAsia="Arial" w:cs="Arial" w:ascii="Arial" w:hAnsi="Arial"/>
          <w:i/>
          <w:sz w:val="22"/>
          <w:szCs w:val="22"/>
        </w:rPr>
        <w:t>Fabaceae</w:t>
      </w:r>
      <w:r>
        <w:rPr>
          <w:rFonts w:eastAsia="Arial" w:cs="Arial" w:ascii="Arial" w:hAnsi="Arial"/>
          <w:sz w:val="22"/>
          <w:szCs w:val="22"/>
        </w:rPr>
        <w:t>. Para a pesquisa foram estabelecidos 3 tratamentos, com 6 piquetes (2500m</w:t>
      </w:r>
      <w:r>
        <w:rPr>
          <w:rFonts w:eastAsia="Arial" w:cs="Arial" w:ascii="Arial" w:hAnsi="Arial"/>
          <w:sz w:val="22"/>
          <w:szCs w:val="22"/>
          <w:vertAlign w:val="superscript"/>
        </w:rPr>
        <w:t>2</w:t>
      </w:r>
      <w:r>
        <w:rPr>
          <w:rFonts w:eastAsia="Arial" w:cs="Arial" w:ascii="Arial" w:hAnsi="Arial"/>
          <w:sz w:val="22"/>
          <w:szCs w:val="22"/>
        </w:rPr>
        <w:t xml:space="preserve"> cada) para cada tratamento: 1) piquetes sem árvores (PSA), 2) piquetes com 5% da área com núcleos arbóreos (SSPnu5) e 3) piquetes com 10% da área com núcleos (SSPnu10), representados na (figura 1). Os núcleos arbóreos foram implantados em 2018 com uma diversa flora, entre elas, tucaneira (Citharexylum myrianthum), ingá (Ingá sessilis), bananeiras (musa paradisiaca), guandú (Cajanus cajam), capim elefante (Penisetum purpureum), ocupando, cada um, 25m² sendo 5 núcleos por ha no SSPnu5 e 10 núcleos por ha no SSPnu10 (Tabela 1). As coletas de forragem foram realizadas no entorno dos núcleos (2,5m de distância ao redor dos núcleos) e internúcleo (5m de distância dos núcleos), no momento de pré pastoreio, determinado pelo ponto ótimo (PINHEIRO MACHADO FILHO et al., 2021). Ao todo foram avaliados 5 ciclos de ocupação no período avaliado com média de intervalo entre ocupações de 50,4 dias.  As amostras coletadas foram pesadas secas para a estimativa de produção de massa verde (MV) e seca (MS) por hectare.</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bookmarkStart w:id="0" w:name="_pshyaxz9b8ia"/>
      <w:bookmarkEnd w:id="0"/>
      <w:r>
        <w:rPr/>
        <w:drawing>
          <wp:inline distT="0" distB="0" distL="0" distR="0">
            <wp:extent cx="5762625" cy="1725295"/>
            <wp:effectExtent l="0" t="0" r="0" b="0"/>
            <wp:docPr id="1"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g" descr=""/>
                    <pic:cNvPicPr>
                      <a:picLocks noChangeAspect="1" noChangeArrowheads="1"/>
                    </pic:cNvPicPr>
                  </pic:nvPicPr>
                  <pic:blipFill>
                    <a:blip r:embed="rId3"/>
                    <a:srcRect l="0" t="25046" r="0" b="21720"/>
                    <a:stretch>
                      <a:fillRect/>
                    </a:stretch>
                  </pic:blipFill>
                  <pic:spPr bwMode="auto">
                    <a:xfrm>
                      <a:off x="0" y="0"/>
                      <a:ext cx="5762625" cy="1725295"/>
                    </a:xfrm>
                    <a:prstGeom prst="rect">
                      <a:avLst/>
                    </a:prstGeom>
                  </pic:spPr>
                </pic:pic>
              </a:graphicData>
            </a:graphic>
          </wp:inline>
        </w:drawing>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bookmarkStart w:id="1" w:name="_bxt3mc1tffht"/>
      <w:bookmarkEnd w:id="1"/>
      <w:r>
        <w:rPr>
          <w:rFonts w:eastAsia="Arial" w:cs="Arial" w:ascii="Arial" w:hAnsi="Arial"/>
          <w:sz w:val="22"/>
          <w:szCs w:val="22"/>
        </w:rPr>
        <w:t xml:space="preserve">Figura 1. Imagem ilustrativas dos tratamentos PSA, SSPnu5 e SSPnu10 e pontos de coleta (x- entorno e </w:t>
      </w:r>
      <w:r>
        <w:rPr>
          <w:rFonts w:eastAsia="Arial" w:cs="Arial" w:ascii="Arial" w:hAnsi="Arial"/>
          <w:color w:val="FF0000"/>
          <w:sz w:val="22"/>
          <w:szCs w:val="22"/>
        </w:rPr>
        <w:t>x</w:t>
      </w:r>
      <w:r>
        <w:rPr>
          <w:rFonts w:eastAsia="Arial" w:cs="Arial" w:ascii="Arial" w:hAnsi="Arial"/>
          <w:sz w:val="22"/>
          <w:szCs w:val="22"/>
        </w:rPr>
        <w:t>- internúcleo)</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bookmarkStart w:id="2" w:name="_eeuckso41s2"/>
      <w:bookmarkEnd w:id="2"/>
      <w:r>
        <w:rPr>
          <w:rFonts w:eastAsia="Arial" w:cs="Arial" w:ascii="Arial" w:hAnsi="Arial"/>
          <w:sz w:val="22"/>
          <w:szCs w:val="22"/>
        </w:rPr>
        <w:t>Fonte: Raphael Ramon Buch</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bookmarkStart w:id="3" w:name="_byq5wwu7h4db"/>
      <w:bookmarkStart w:id="4" w:name="_byq5wwu7h4db"/>
      <w:bookmarkEnd w:id="4"/>
    </w:p>
    <w:p>
      <w:pPr>
        <w:pStyle w:val="Normal1"/>
        <w:jc w:val="both"/>
        <w:rPr>
          <w:rFonts w:ascii="Arial" w:hAnsi="Arial" w:eastAsia="Arial" w:cs="Arial"/>
          <w:b/>
          <w:b/>
          <w:sz w:val="22"/>
          <w:szCs w:val="22"/>
        </w:rPr>
      </w:pPr>
      <w:bookmarkStart w:id="5" w:name="_7pu7rx4gkuxn"/>
      <w:bookmarkEnd w:id="5"/>
      <w:r>
        <w:rPr>
          <w:rFonts w:eastAsia="Arial" w:cs="Arial" w:ascii="Arial" w:hAnsi="Arial"/>
          <w:b/>
          <w:sz w:val="22"/>
          <w:szCs w:val="22"/>
        </w:rPr>
        <w:t>Tabela 1</w:t>
      </w:r>
      <w:r>
        <w:rPr>
          <w:rFonts w:eastAsia="Arial" w:cs="Arial" w:ascii="Arial" w:hAnsi="Arial"/>
          <w:sz w:val="22"/>
          <w:szCs w:val="22"/>
        </w:rPr>
        <w:t xml:space="preserve">: </w:t>
      </w:r>
      <w:r>
        <w:rPr>
          <w:rFonts w:eastAsia="Arial" w:cs="Arial" w:ascii="Arial" w:hAnsi="Arial"/>
          <w:b/>
          <w:sz w:val="22"/>
          <w:szCs w:val="22"/>
        </w:rPr>
        <w:t>Área útil de Pastagem e núcleos em 1 hectare. Sistema Silvipastoris com 5% da área (SSPnu5), e 10% da área (SSPnu10), e pastagem sem árvores (PSA).</w:t>
      </w:r>
    </w:p>
    <w:p>
      <w:pPr>
        <w:pStyle w:val="Normal1"/>
        <w:jc w:val="both"/>
        <w:rPr>
          <w:rFonts w:ascii="Arial" w:hAnsi="Arial" w:eastAsia="Arial" w:cs="Arial"/>
          <w:sz w:val="22"/>
          <w:szCs w:val="22"/>
        </w:rPr>
      </w:pPr>
      <w:r>
        <w:rPr>
          <w:rFonts w:eastAsia="Arial" w:cs="Arial" w:ascii="Arial" w:hAnsi="Arial"/>
          <w:sz w:val="22"/>
          <w:szCs w:val="22"/>
        </w:rPr>
      </w:r>
      <w:bookmarkStart w:id="6" w:name="_vehxqkahd8zg"/>
      <w:bookmarkStart w:id="7" w:name="_vehxqkahd8zg"/>
      <w:bookmarkEnd w:id="7"/>
    </w:p>
    <w:tbl>
      <w:tblPr>
        <w:tblStyle w:val="Table1"/>
        <w:tblW w:w="9075" w:type="dxa"/>
        <w:jc w:val="left"/>
        <w:tblInd w:w="-135" w:type="dxa"/>
        <w:tblLayout w:type="fixed"/>
        <w:tblCellMar>
          <w:top w:w="0" w:type="dxa"/>
          <w:left w:w="100" w:type="dxa"/>
          <w:bottom w:w="0" w:type="dxa"/>
          <w:right w:w="100" w:type="dxa"/>
        </w:tblCellMar>
        <w:tblLook w:val="0600"/>
      </w:tblPr>
      <w:tblGrid>
        <w:gridCol w:w="2460"/>
        <w:gridCol w:w="1275"/>
        <w:gridCol w:w="1425"/>
        <w:gridCol w:w="1125"/>
        <w:gridCol w:w="1469"/>
        <w:gridCol w:w="1320"/>
      </w:tblGrid>
      <w:tr>
        <w:trPr>
          <w:trHeight w:val="315" w:hRule="atLeast"/>
        </w:trPr>
        <w:tc>
          <w:tcPr>
            <w:tcW w:w="2460" w:type="dxa"/>
            <w:vMerge w:val="restart"/>
            <w:tcBorders>
              <w:top w:val="single" w:sz="8" w:space="0" w:color="000000"/>
            </w:tcBorders>
          </w:tcPr>
          <w:p>
            <w:pPr>
              <w:pStyle w:val="Normal1"/>
              <w:widowControl w:val="false"/>
              <w:ind w:left="360" w:hanging="0"/>
              <w:jc w:val="both"/>
              <w:rPr>
                <w:rFonts w:ascii="Arial" w:hAnsi="Arial" w:eastAsia="Arial" w:cs="Arial"/>
                <w:sz w:val="20"/>
                <w:szCs w:val="20"/>
              </w:rPr>
            </w:pPr>
            <w:bookmarkStart w:id="8" w:name="_hhfh106qmp97"/>
            <w:bookmarkEnd w:id="8"/>
            <w:r>
              <w:rPr>
                <w:rFonts w:eastAsia="Arial" w:cs="Arial" w:ascii="Arial" w:hAnsi="Arial"/>
                <w:sz w:val="20"/>
                <w:szCs w:val="20"/>
              </w:rPr>
              <w:t xml:space="preserve"> </w:t>
            </w:r>
          </w:p>
        </w:tc>
        <w:tc>
          <w:tcPr>
            <w:tcW w:w="1275" w:type="dxa"/>
            <w:vMerge w:val="restart"/>
            <w:tcBorders>
              <w:top w:val="single" w:sz="8" w:space="0" w:color="000000"/>
            </w:tcBorders>
          </w:tcPr>
          <w:p>
            <w:pPr>
              <w:pStyle w:val="Normal1"/>
              <w:widowControl w:val="false"/>
              <w:ind w:left="360" w:hanging="0"/>
              <w:jc w:val="center"/>
              <w:rPr>
                <w:rFonts w:ascii="Arial" w:hAnsi="Arial" w:eastAsia="Arial" w:cs="Arial"/>
                <w:sz w:val="20"/>
                <w:szCs w:val="20"/>
              </w:rPr>
            </w:pPr>
            <w:bookmarkStart w:id="9" w:name="_hhfh106qmp971"/>
            <w:bookmarkEnd w:id="9"/>
            <w:r>
              <w:rPr>
                <w:rFonts w:eastAsia="Arial" w:cs="Arial" w:ascii="Arial" w:hAnsi="Arial"/>
                <w:sz w:val="20"/>
                <w:szCs w:val="20"/>
              </w:rPr>
              <w:t>PSA</w:t>
            </w:r>
          </w:p>
        </w:tc>
        <w:tc>
          <w:tcPr>
            <w:tcW w:w="2550" w:type="dxa"/>
            <w:gridSpan w:val="2"/>
            <w:tcBorders>
              <w:top w:val="single" w:sz="8" w:space="0" w:color="000000"/>
            </w:tcBorders>
          </w:tcPr>
          <w:p>
            <w:pPr>
              <w:pStyle w:val="Normal1"/>
              <w:widowControl w:val="false"/>
              <w:ind w:left="360" w:hanging="0"/>
              <w:jc w:val="center"/>
              <w:rPr>
                <w:rFonts w:ascii="Arial" w:hAnsi="Arial" w:eastAsia="Arial" w:cs="Arial"/>
                <w:sz w:val="20"/>
                <w:szCs w:val="20"/>
              </w:rPr>
            </w:pPr>
            <w:bookmarkStart w:id="10" w:name="_hhfh106qmp972"/>
            <w:bookmarkEnd w:id="10"/>
            <w:r>
              <w:rPr>
                <w:rFonts w:eastAsia="Arial" w:cs="Arial" w:ascii="Arial" w:hAnsi="Arial"/>
                <w:sz w:val="20"/>
                <w:szCs w:val="20"/>
              </w:rPr>
              <w:t>SSPnu5</w:t>
            </w:r>
          </w:p>
        </w:tc>
        <w:tc>
          <w:tcPr>
            <w:tcW w:w="2789" w:type="dxa"/>
            <w:gridSpan w:val="2"/>
            <w:tcBorders>
              <w:top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11" w:name="_hhfh106qmp973"/>
            <w:bookmarkEnd w:id="11"/>
            <w:r>
              <w:rPr>
                <w:rFonts w:eastAsia="Arial" w:cs="Arial" w:ascii="Arial" w:hAnsi="Arial"/>
                <w:sz w:val="20"/>
                <w:szCs w:val="20"/>
              </w:rPr>
              <w:t>SSPnu10</w:t>
            </w:r>
          </w:p>
        </w:tc>
      </w:tr>
      <w:tr>
        <w:trPr>
          <w:trHeight w:val="285" w:hRule="atLeast"/>
        </w:trPr>
        <w:tc>
          <w:tcPr>
            <w:tcW w:w="2460" w:type="dxa"/>
            <w:vMerge w:val="continue"/>
            <w:tcBorders>
              <w:top w:val="single" w:sz="8" w:space="0" w:color="000000"/>
            </w:tcBorders>
            <w:shd w:fill="auto" w:val="clear"/>
            <w:tcMar>
              <w:top w:w="100" w:type="dxa"/>
              <w:bottom w:w="100" w:type="dxa"/>
            </w:tcMar>
          </w:tcPr>
          <w:p>
            <w:pPr>
              <w:pStyle w:val="Normal1"/>
              <w:widowControl w:val="false"/>
              <w:ind w:left="360" w:hanging="0"/>
              <w:jc w:val="both"/>
              <w:rPr>
                <w:rFonts w:ascii="Arial" w:hAnsi="Arial" w:eastAsia="Arial" w:cs="Arial"/>
                <w:sz w:val="22"/>
                <w:szCs w:val="22"/>
              </w:rPr>
            </w:pPr>
            <w:r>
              <w:rPr>
                <w:rFonts w:eastAsia="Arial" w:cs="Arial" w:ascii="Arial" w:hAnsi="Arial"/>
                <w:sz w:val="22"/>
                <w:szCs w:val="22"/>
              </w:rPr>
            </w:r>
            <w:bookmarkStart w:id="12" w:name="_hhfh106qmp974"/>
            <w:bookmarkStart w:id="13" w:name="_hhfh106qmp974"/>
            <w:bookmarkEnd w:id="13"/>
          </w:p>
        </w:tc>
        <w:tc>
          <w:tcPr>
            <w:tcW w:w="1275" w:type="dxa"/>
            <w:vMerge w:val="continue"/>
            <w:tcBorders>
              <w:top w:val="single" w:sz="8" w:space="0" w:color="000000"/>
            </w:tcBorders>
            <w:shd w:fill="auto" w:val="clear"/>
            <w:tcMar>
              <w:top w:w="100" w:type="dxa"/>
              <w:bottom w:w="100" w:type="dxa"/>
            </w:tcMar>
          </w:tcPr>
          <w:p>
            <w:pPr>
              <w:pStyle w:val="Normal1"/>
              <w:widowControl w:val="false"/>
              <w:ind w:left="360" w:hanging="0"/>
              <w:jc w:val="both"/>
              <w:rPr>
                <w:rFonts w:ascii="Arial" w:hAnsi="Arial" w:eastAsia="Arial" w:cs="Arial"/>
                <w:sz w:val="22"/>
                <w:szCs w:val="22"/>
              </w:rPr>
            </w:pPr>
            <w:r>
              <w:rPr>
                <w:rFonts w:eastAsia="Arial" w:cs="Arial" w:ascii="Arial" w:hAnsi="Arial"/>
                <w:sz w:val="22"/>
                <w:szCs w:val="22"/>
              </w:rPr>
            </w:r>
            <w:bookmarkStart w:id="14" w:name="_hhfh106qmp975"/>
            <w:bookmarkStart w:id="15" w:name="_hhfh106qmp975"/>
            <w:bookmarkEnd w:id="15"/>
          </w:p>
        </w:tc>
        <w:tc>
          <w:tcPr>
            <w:tcW w:w="1425"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16" w:name="_hhfh106qmp976"/>
            <w:bookmarkEnd w:id="16"/>
            <w:r>
              <w:rPr>
                <w:rFonts w:eastAsia="Arial" w:cs="Arial" w:ascii="Arial" w:hAnsi="Arial"/>
                <w:sz w:val="20"/>
                <w:szCs w:val="20"/>
              </w:rPr>
              <w:t>Entorno</w:t>
            </w:r>
          </w:p>
        </w:tc>
        <w:tc>
          <w:tcPr>
            <w:tcW w:w="1125"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17" w:name="_hhfh106qmp977"/>
            <w:bookmarkEnd w:id="17"/>
            <w:r>
              <w:rPr>
                <w:rFonts w:eastAsia="Arial" w:cs="Arial" w:ascii="Arial" w:hAnsi="Arial"/>
                <w:sz w:val="20"/>
                <w:szCs w:val="20"/>
              </w:rPr>
              <w:t>Inter</w:t>
            </w:r>
          </w:p>
        </w:tc>
        <w:tc>
          <w:tcPr>
            <w:tcW w:w="1469"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18" w:name="_hhfh106qmp978"/>
            <w:bookmarkEnd w:id="18"/>
            <w:r>
              <w:rPr>
                <w:rFonts w:eastAsia="Arial" w:cs="Arial" w:ascii="Arial" w:hAnsi="Arial"/>
                <w:sz w:val="20"/>
                <w:szCs w:val="20"/>
              </w:rPr>
              <w:t>Entorno</w:t>
            </w:r>
          </w:p>
        </w:tc>
        <w:tc>
          <w:tcPr>
            <w:tcW w:w="1320"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19" w:name="_hhfh106qmp979"/>
            <w:bookmarkEnd w:id="19"/>
            <w:r>
              <w:rPr>
                <w:rFonts w:eastAsia="Arial" w:cs="Arial" w:ascii="Arial" w:hAnsi="Arial"/>
                <w:sz w:val="20"/>
                <w:szCs w:val="20"/>
              </w:rPr>
              <w:t>Inter</w:t>
            </w:r>
          </w:p>
        </w:tc>
      </w:tr>
      <w:tr>
        <w:trPr>
          <w:trHeight w:val="570" w:hRule="atLeast"/>
        </w:trPr>
        <w:tc>
          <w:tcPr>
            <w:tcW w:w="2460" w:type="dxa"/>
            <w:tcBorders/>
            <w:shd w:fill="auto" w:val="clear"/>
          </w:tcPr>
          <w:p>
            <w:pPr>
              <w:pStyle w:val="Normal1"/>
              <w:widowControl w:val="false"/>
              <w:ind w:left="360" w:hanging="0"/>
              <w:jc w:val="both"/>
              <w:rPr>
                <w:rFonts w:ascii="Arial" w:hAnsi="Arial" w:eastAsia="Arial" w:cs="Arial"/>
                <w:sz w:val="20"/>
                <w:szCs w:val="20"/>
              </w:rPr>
            </w:pPr>
            <w:bookmarkStart w:id="20" w:name="_hhfh106qmp9710"/>
            <w:bookmarkEnd w:id="20"/>
            <w:r>
              <w:rPr>
                <w:rFonts w:eastAsia="Arial" w:cs="Arial" w:ascii="Arial" w:hAnsi="Arial"/>
                <w:sz w:val="20"/>
                <w:szCs w:val="20"/>
              </w:rPr>
              <w:t>Área pastagem (m²)</w:t>
            </w:r>
          </w:p>
        </w:tc>
        <w:tc>
          <w:tcPr>
            <w:tcW w:w="1275" w:type="dxa"/>
            <w:tcBorders/>
            <w:shd w:fill="auto" w:val="clear"/>
          </w:tcPr>
          <w:p>
            <w:pPr>
              <w:pStyle w:val="Normal1"/>
              <w:widowControl w:val="false"/>
              <w:ind w:left="360" w:hanging="0"/>
              <w:jc w:val="center"/>
              <w:rPr>
                <w:rFonts w:ascii="Arial" w:hAnsi="Arial" w:eastAsia="Arial" w:cs="Arial"/>
                <w:sz w:val="20"/>
                <w:szCs w:val="20"/>
              </w:rPr>
            </w:pPr>
            <w:bookmarkStart w:id="21" w:name="_hhfh106qmp9711"/>
            <w:bookmarkEnd w:id="21"/>
            <w:r>
              <w:rPr>
                <w:rFonts w:eastAsia="Arial" w:cs="Arial" w:ascii="Arial" w:hAnsi="Arial"/>
                <w:sz w:val="20"/>
                <w:szCs w:val="20"/>
              </w:rPr>
              <w:t>10.000</w:t>
            </w:r>
          </w:p>
        </w:tc>
        <w:tc>
          <w:tcPr>
            <w:tcW w:w="1425" w:type="dxa"/>
            <w:tcBorders/>
            <w:shd w:fill="auto" w:val="clear"/>
          </w:tcPr>
          <w:p>
            <w:pPr>
              <w:pStyle w:val="Normal1"/>
              <w:widowControl w:val="false"/>
              <w:ind w:left="360" w:hanging="0"/>
              <w:jc w:val="center"/>
              <w:rPr>
                <w:rFonts w:ascii="Arial" w:hAnsi="Arial" w:eastAsia="Arial" w:cs="Arial"/>
                <w:sz w:val="20"/>
                <w:szCs w:val="20"/>
              </w:rPr>
            </w:pPr>
            <w:bookmarkStart w:id="22" w:name="_hhfh106qmp9712"/>
            <w:bookmarkEnd w:id="22"/>
            <w:r>
              <w:rPr>
                <w:rFonts w:eastAsia="Arial" w:cs="Arial" w:ascii="Arial" w:hAnsi="Arial"/>
                <w:sz w:val="20"/>
                <w:szCs w:val="20"/>
              </w:rPr>
              <w:t>1.500</w:t>
            </w:r>
          </w:p>
        </w:tc>
        <w:tc>
          <w:tcPr>
            <w:tcW w:w="1125" w:type="dxa"/>
            <w:tcBorders/>
            <w:shd w:fill="auto" w:val="clear"/>
          </w:tcPr>
          <w:p>
            <w:pPr>
              <w:pStyle w:val="Normal1"/>
              <w:widowControl w:val="false"/>
              <w:ind w:left="360" w:hanging="0"/>
              <w:jc w:val="center"/>
              <w:rPr>
                <w:rFonts w:ascii="Arial" w:hAnsi="Arial" w:eastAsia="Arial" w:cs="Arial"/>
                <w:sz w:val="20"/>
                <w:szCs w:val="20"/>
              </w:rPr>
            </w:pPr>
            <w:bookmarkStart w:id="23" w:name="_hhfh106qmp9713"/>
            <w:bookmarkEnd w:id="23"/>
            <w:r>
              <w:rPr>
                <w:rFonts w:eastAsia="Arial" w:cs="Arial" w:ascii="Arial" w:hAnsi="Arial"/>
                <w:sz w:val="20"/>
                <w:szCs w:val="20"/>
              </w:rPr>
              <w:t>8.000</w:t>
            </w:r>
          </w:p>
        </w:tc>
        <w:tc>
          <w:tcPr>
            <w:tcW w:w="1469" w:type="dxa"/>
            <w:tcBorders/>
            <w:shd w:fill="auto" w:val="clear"/>
          </w:tcPr>
          <w:p>
            <w:pPr>
              <w:pStyle w:val="Normal1"/>
              <w:widowControl w:val="false"/>
              <w:ind w:left="360" w:hanging="0"/>
              <w:jc w:val="center"/>
              <w:rPr>
                <w:rFonts w:ascii="Arial" w:hAnsi="Arial" w:eastAsia="Arial" w:cs="Arial"/>
                <w:sz w:val="20"/>
                <w:szCs w:val="20"/>
              </w:rPr>
            </w:pPr>
            <w:bookmarkStart w:id="24" w:name="_hhfh106qmp9714"/>
            <w:bookmarkEnd w:id="24"/>
            <w:r>
              <w:rPr>
                <w:rFonts w:eastAsia="Arial" w:cs="Arial" w:ascii="Arial" w:hAnsi="Arial"/>
                <w:sz w:val="20"/>
                <w:szCs w:val="20"/>
              </w:rPr>
              <w:t>3.000</w:t>
            </w:r>
          </w:p>
        </w:tc>
        <w:tc>
          <w:tcPr>
            <w:tcW w:w="1320" w:type="dxa"/>
            <w:tcBorders/>
            <w:shd w:fill="auto" w:val="clear"/>
          </w:tcPr>
          <w:p>
            <w:pPr>
              <w:pStyle w:val="Normal1"/>
              <w:widowControl w:val="false"/>
              <w:ind w:left="360" w:hanging="0"/>
              <w:jc w:val="center"/>
              <w:rPr>
                <w:rFonts w:ascii="Arial" w:hAnsi="Arial" w:eastAsia="Arial" w:cs="Arial"/>
                <w:sz w:val="20"/>
                <w:szCs w:val="20"/>
              </w:rPr>
            </w:pPr>
            <w:bookmarkStart w:id="25" w:name="_hhfh106qmp9715"/>
            <w:bookmarkEnd w:id="25"/>
            <w:r>
              <w:rPr>
                <w:rFonts w:eastAsia="Arial" w:cs="Arial" w:ascii="Arial" w:hAnsi="Arial"/>
                <w:sz w:val="20"/>
                <w:szCs w:val="20"/>
              </w:rPr>
              <w:t>6.000</w:t>
            </w:r>
          </w:p>
        </w:tc>
      </w:tr>
      <w:tr>
        <w:trPr>
          <w:trHeight w:val="285" w:hRule="atLeast"/>
        </w:trPr>
        <w:tc>
          <w:tcPr>
            <w:tcW w:w="2460"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26" w:name="_hhfh106qmp9716"/>
            <w:bookmarkEnd w:id="26"/>
            <w:r>
              <w:rPr>
                <w:rFonts w:eastAsia="Arial" w:cs="Arial" w:ascii="Arial" w:hAnsi="Arial"/>
                <w:sz w:val="20"/>
                <w:szCs w:val="20"/>
              </w:rPr>
              <w:t>Área núcleo (m²)</w:t>
            </w:r>
          </w:p>
        </w:tc>
        <w:tc>
          <w:tcPr>
            <w:tcW w:w="1275" w:type="dxa"/>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27" w:name="_hhfh106qmp9717"/>
            <w:bookmarkEnd w:id="27"/>
            <w:r>
              <w:rPr>
                <w:rFonts w:eastAsia="Arial" w:cs="Arial" w:ascii="Arial" w:hAnsi="Arial"/>
                <w:sz w:val="20"/>
                <w:szCs w:val="20"/>
              </w:rPr>
              <w:t>0</w:t>
            </w:r>
          </w:p>
        </w:tc>
        <w:tc>
          <w:tcPr>
            <w:tcW w:w="2550" w:type="dxa"/>
            <w:gridSpan w:val="2"/>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28" w:name="_hhfh106qmp9718"/>
            <w:bookmarkEnd w:id="28"/>
            <w:r>
              <w:rPr>
                <w:rFonts w:eastAsia="Arial" w:cs="Arial" w:ascii="Arial" w:hAnsi="Arial"/>
                <w:sz w:val="20"/>
                <w:szCs w:val="20"/>
              </w:rPr>
              <w:t>500</w:t>
            </w:r>
          </w:p>
        </w:tc>
        <w:tc>
          <w:tcPr>
            <w:tcW w:w="2789" w:type="dxa"/>
            <w:gridSpan w:val="2"/>
            <w:tcBorders>
              <w:bottom w:val="single" w:sz="8" w:space="0" w:color="000000"/>
            </w:tcBorders>
            <w:shd w:fill="auto" w:val="clear"/>
          </w:tcPr>
          <w:p>
            <w:pPr>
              <w:pStyle w:val="Normal1"/>
              <w:widowControl w:val="false"/>
              <w:ind w:left="360" w:hanging="0"/>
              <w:jc w:val="center"/>
              <w:rPr>
                <w:rFonts w:ascii="Arial" w:hAnsi="Arial" w:eastAsia="Arial" w:cs="Arial"/>
                <w:sz w:val="20"/>
                <w:szCs w:val="20"/>
              </w:rPr>
            </w:pPr>
            <w:bookmarkStart w:id="29" w:name="_hhfh106qmp9719"/>
            <w:bookmarkEnd w:id="29"/>
            <w:r>
              <w:rPr>
                <w:rFonts w:eastAsia="Arial" w:cs="Arial" w:ascii="Arial" w:hAnsi="Arial"/>
                <w:sz w:val="20"/>
                <w:szCs w:val="20"/>
              </w:rPr>
              <w:t>1.000</w:t>
            </w:r>
          </w:p>
        </w:tc>
      </w:tr>
    </w:tbl>
    <w:p>
      <w:pPr>
        <w:pStyle w:val="Normal1"/>
        <w:jc w:val="both"/>
        <w:rPr>
          <w:rFonts w:ascii="Arial" w:hAnsi="Arial" w:eastAsia="Arial" w:cs="Arial"/>
          <w:b/>
          <w:b/>
          <w:sz w:val="22"/>
          <w:szCs w:val="22"/>
        </w:rPr>
      </w:pPr>
      <w:r>
        <w:rPr>
          <w:rFonts w:eastAsia="Arial" w:cs="Arial" w:ascii="Arial" w:hAnsi="Arial"/>
          <w:b/>
          <w:sz w:val="22"/>
          <w:szCs w:val="22"/>
        </w:rPr>
      </w:r>
    </w:p>
    <w:p>
      <w:pPr>
        <w:pStyle w:val="Normal1"/>
        <w:jc w:val="both"/>
        <w:rPr>
          <w:rFonts w:ascii="Arial" w:hAnsi="Arial" w:eastAsia="Arial" w:cs="Arial"/>
          <w:sz w:val="22"/>
          <w:szCs w:val="22"/>
        </w:rPr>
      </w:pPr>
      <w:r>
        <w:rPr>
          <w:rFonts w:eastAsia="Arial" w:cs="Arial" w:ascii="Arial" w:hAnsi="Arial"/>
          <w:b/>
          <w:sz w:val="22"/>
          <w:szCs w:val="22"/>
        </w:rPr>
        <w:t xml:space="preserve">Resultados e discussões: </w:t>
      </w:r>
      <w:r>
        <w:rPr>
          <w:rFonts w:eastAsia="Arial" w:cs="Arial" w:ascii="Arial" w:hAnsi="Arial"/>
          <w:sz w:val="22"/>
          <w:szCs w:val="22"/>
        </w:rPr>
        <w:t>Conforme podemos observar  na tabela 2, a média da produção de matéria verde acumulada durante o período médio de descanso (50,4 dias) de todos tratamentos, a produção do tratamento PSA foi de 4.044 kg MV.HA</w:t>
      </w:r>
      <w:r>
        <w:rPr>
          <w:rFonts w:eastAsia="Arial" w:cs="Arial" w:ascii="Arial" w:hAnsi="Arial"/>
          <w:sz w:val="22"/>
          <w:szCs w:val="22"/>
          <w:vertAlign w:val="superscript"/>
        </w:rPr>
        <w:t>-1</w:t>
      </w:r>
      <w:r>
        <w:rPr>
          <w:rFonts w:eastAsia="Arial" w:cs="Arial" w:ascii="Arial" w:hAnsi="Arial"/>
          <w:sz w:val="22"/>
          <w:szCs w:val="22"/>
        </w:rPr>
        <w:t xml:space="preserve"> com intervalo de confiança de 3.415 a 4.672 kg MV.HA</w:t>
      </w:r>
      <w:r>
        <w:rPr>
          <w:rFonts w:eastAsia="Arial" w:cs="Arial" w:ascii="Arial" w:hAnsi="Arial"/>
          <w:sz w:val="22"/>
          <w:szCs w:val="22"/>
          <w:vertAlign w:val="superscript"/>
        </w:rPr>
        <w:t>-1</w:t>
      </w:r>
      <w:r>
        <w:rPr>
          <w:rFonts w:eastAsia="Arial" w:cs="Arial" w:ascii="Arial" w:hAnsi="Arial"/>
          <w:sz w:val="22"/>
          <w:szCs w:val="22"/>
        </w:rPr>
        <w:t>, já para o tratamento SSP5 a produção foi de 3.756 kg MV/HA</w:t>
      </w:r>
      <w:r>
        <w:rPr>
          <w:rFonts w:eastAsia="Arial" w:cs="Arial" w:ascii="Arial" w:hAnsi="Arial"/>
          <w:sz w:val="22"/>
          <w:szCs w:val="22"/>
          <w:vertAlign w:val="superscript"/>
        </w:rPr>
        <w:t>-1</w:t>
      </w:r>
      <w:r>
        <w:rPr>
          <w:rFonts w:eastAsia="Arial" w:cs="Arial" w:ascii="Arial" w:hAnsi="Arial"/>
          <w:sz w:val="22"/>
          <w:szCs w:val="22"/>
        </w:rPr>
        <w:t xml:space="preserve"> com intervalo de 3.065 a 4.447 kg MV.HA</w:t>
      </w:r>
      <w:r>
        <w:rPr>
          <w:rFonts w:eastAsia="Arial" w:cs="Arial" w:ascii="Arial" w:hAnsi="Arial"/>
          <w:sz w:val="22"/>
          <w:szCs w:val="22"/>
          <w:vertAlign w:val="superscript"/>
        </w:rPr>
        <w:t>-1</w:t>
      </w:r>
      <w:r>
        <w:rPr>
          <w:rFonts w:eastAsia="Arial" w:cs="Arial" w:ascii="Arial" w:hAnsi="Arial"/>
          <w:sz w:val="22"/>
          <w:szCs w:val="22"/>
        </w:rPr>
        <w:t xml:space="preserve"> e o SSP10 resultou em 3.967 kg MV.HA</w:t>
      </w:r>
      <w:r>
        <w:rPr>
          <w:rFonts w:eastAsia="Arial" w:cs="Arial" w:ascii="Arial" w:hAnsi="Arial"/>
          <w:sz w:val="22"/>
          <w:szCs w:val="22"/>
          <w:vertAlign w:val="superscript"/>
        </w:rPr>
        <w:t>-1</w:t>
      </w:r>
      <w:r>
        <w:rPr>
          <w:rFonts w:eastAsia="Arial" w:cs="Arial" w:ascii="Arial" w:hAnsi="Arial"/>
          <w:sz w:val="22"/>
          <w:szCs w:val="22"/>
        </w:rPr>
        <w:t xml:space="preserve"> com intervalo de confiança de 3.273 a 4.662 kg MV.HA</w:t>
      </w:r>
      <w:r>
        <w:rPr>
          <w:rFonts w:eastAsia="Arial" w:cs="Arial" w:ascii="Arial" w:hAnsi="Arial"/>
          <w:sz w:val="22"/>
          <w:szCs w:val="22"/>
          <w:vertAlign w:val="superscript"/>
        </w:rPr>
        <w:t>-1</w:t>
      </w:r>
      <w:r>
        <w:rPr>
          <w:rFonts w:eastAsia="Arial" w:cs="Arial" w:ascii="Arial" w:hAnsi="Arial"/>
          <w:sz w:val="22"/>
          <w:szCs w:val="22"/>
        </w:rPr>
        <w:t>. Dessa forma, esses valores não apresentaram diferença significativa em relação a sua produção de massa verde. Já a produção acomulada de matéria seca durante o período de descanso no tratamento PSA foi de 1.273 kg MS.HA</w:t>
      </w:r>
      <w:r>
        <w:rPr>
          <w:rFonts w:eastAsia="Arial" w:cs="Arial" w:ascii="Arial" w:hAnsi="Arial"/>
          <w:sz w:val="22"/>
          <w:szCs w:val="22"/>
          <w:vertAlign w:val="superscript"/>
        </w:rPr>
        <w:t>-1</w:t>
      </w:r>
      <w:r>
        <w:rPr>
          <w:rFonts w:eastAsia="Arial" w:cs="Arial" w:ascii="Arial" w:hAnsi="Arial"/>
          <w:sz w:val="22"/>
          <w:szCs w:val="22"/>
        </w:rPr>
        <w:t xml:space="preserve"> com intervalo de confiança de 1.047 a 1.499 kg MS.HA</w:t>
      </w:r>
      <w:r>
        <w:rPr>
          <w:rFonts w:eastAsia="Arial" w:cs="Arial" w:ascii="Arial" w:hAnsi="Arial"/>
          <w:sz w:val="22"/>
          <w:szCs w:val="22"/>
          <w:vertAlign w:val="superscript"/>
        </w:rPr>
        <w:t>-1</w:t>
      </w:r>
      <w:r>
        <w:rPr>
          <w:rFonts w:eastAsia="Arial" w:cs="Arial" w:ascii="Arial" w:hAnsi="Arial"/>
          <w:sz w:val="22"/>
          <w:szCs w:val="22"/>
        </w:rPr>
        <w:t>, no tratamento SSPnu5 obtivemos 1.235 kg MS.HA</w:t>
      </w:r>
      <w:r>
        <w:rPr>
          <w:rFonts w:eastAsia="Arial" w:cs="Arial" w:ascii="Arial" w:hAnsi="Arial"/>
          <w:sz w:val="22"/>
          <w:szCs w:val="22"/>
          <w:vertAlign w:val="superscript"/>
        </w:rPr>
        <w:t>-1</w:t>
      </w:r>
      <w:r>
        <w:rPr>
          <w:rFonts w:eastAsia="Arial" w:cs="Arial" w:ascii="Arial" w:hAnsi="Arial"/>
          <w:sz w:val="22"/>
          <w:szCs w:val="22"/>
        </w:rPr>
        <w:t xml:space="preserve"> com intervalo de 988 a 1.482 kg MS.HA</w:t>
      </w:r>
      <w:r>
        <w:rPr>
          <w:rFonts w:eastAsia="Arial" w:cs="Arial" w:ascii="Arial" w:hAnsi="Arial"/>
          <w:sz w:val="22"/>
          <w:szCs w:val="22"/>
          <w:vertAlign w:val="superscript"/>
        </w:rPr>
        <w:t>-1</w:t>
      </w:r>
      <w:r>
        <w:rPr>
          <w:rFonts w:eastAsia="Arial" w:cs="Arial" w:ascii="Arial" w:hAnsi="Arial"/>
          <w:sz w:val="22"/>
          <w:szCs w:val="22"/>
        </w:rPr>
        <w:t xml:space="preserve"> e no tratamento SPPnu10 uma produção média de matéria seca acumulada de 1.192 kg MS.HA</w:t>
      </w:r>
      <w:r>
        <w:rPr>
          <w:rFonts w:eastAsia="Arial" w:cs="Arial" w:ascii="Arial" w:hAnsi="Arial"/>
          <w:sz w:val="22"/>
          <w:szCs w:val="22"/>
          <w:vertAlign w:val="superscript"/>
        </w:rPr>
        <w:t>-1</w:t>
      </w:r>
      <w:r>
        <w:rPr>
          <w:rFonts w:eastAsia="Arial" w:cs="Arial" w:ascii="Arial" w:hAnsi="Arial"/>
          <w:sz w:val="22"/>
          <w:szCs w:val="22"/>
        </w:rPr>
        <w:t xml:space="preserve"> com intervalo de 947 a 1.438 kg MS.HA</w:t>
      </w:r>
      <w:r>
        <w:rPr>
          <w:rFonts w:eastAsia="Arial" w:cs="Arial" w:ascii="Arial" w:hAnsi="Arial"/>
          <w:sz w:val="22"/>
          <w:szCs w:val="22"/>
          <w:vertAlign w:val="superscript"/>
        </w:rPr>
        <w:t>-1</w:t>
      </w:r>
      <w:r>
        <w:rPr>
          <w:rFonts w:eastAsia="Arial" w:cs="Arial" w:ascii="Arial" w:hAnsi="Arial"/>
          <w:sz w:val="22"/>
          <w:szCs w:val="22"/>
        </w:rPr>
        <w:t>, que da mesma forma que produção de massa verde não obteve diferenças significativas em sua produção.</w:t>
      </w:r>
    </w:p>
    <w:p>
      <w:pPr>
        <w:pStyle w:val="Normal1"/>
        <w:jc w:val="both"/>
        <w:rPr>
          <w:rFonts w:ascii="Arial" w:hAnsi="Arial" w:eastAsia="Arial" w:cs="Arial"/>
          <w:sz w:val="22"/>
          <w:szCs w:val="22"/>
        </w:rPr>
      </w:pPr>
      <w:r>
        <w:rPr>
          <w:rFonts w:eastAsia="Arial" w:cs="Arial" w:ascii="Arial" w:hAnsi="Arial"/>
          <w:sz w:val="22"/>
          <w:szCs w:val="22"/>
        </w:rPr>
      </w:r>
    </w:p>
    <w:p>
      <w:pPr>
        <w:pStyle w:val="Normal1"/>
        <w:jc w:val="both"/>
        <w:rPr>
          <w:rFonts w:ascii="Arial" w:hAnsi="Arial" w:eastAsia="Arial" w:cs="Arial"/>
          <w:b/>
          <w:b/>
          <w:sz w:val="22"/>
          <w:szCs w:val="22"/>
        </w:rPr>
      </w:pPr>
      <w:r>
        <w:rPr>
          <w:rFonts w:eastAsia="Arial" w:cs="Arial" w:ascii="Arial" w:hAnsi="Arial"/>
          <w:b/>
          <w:sz w:val="22"/>
          <w:szCs w:val="22"/>
        </w:rPr>
      </w:r>
    </w:p>
    <w:p>
      <w:pPr>
        <w:pStyle w:val="Normal1"/>
        <w:jc w:val="both"/>
        <w:rPr>
          <w:rFonts w:ascii="Arial" w:hAnsi="Arial" w:eastAsia="Arial" w:cs="Arial"/>
          <w:b/>
          <w:b/>
          <w:sz w:val="22"/>
          <w:szCs w:val="22"/>
        </w:rPr>
      </w:pPr>
      <w:r>
        <w:rPr>
          <w:rFonts w:eastAsia="Arial" w:cs="Arial" w:ascii="Arial" w:hAnsi="Arial"/>
          <w:b/>
          <w:sz w:val="22"/>
          <w:szCs w:val="22"/>
        </w:rPr>
      </w:r>
    </w:p>
    <w:p>
      <w:pPr>
        <w:pStyle w:val="Normal1"/>
        <w:jc w:val="both"/>
        <w:rPr>
          <w:rFonts w:ascii="Arial" w:hAnsi="Arial" w:eastAsia="Arial" w:cs="Arial"/>
          <w:b/>
          <w:b/>
          <w:sz w:val="22"/>
          <w:szCs w:val="22"/>
        </w:rPr>
      </w:pPr>
      <w:r>
        <w:rPr>
          <w:rFonts w:eastAsia="Arial" w:cs="Arial" w:ascii="Arial" w:hAnsi="Arial"/>
          <w:b/>
          <w:sz w:val="22"/>
          <w:szCs w:val="22"/>
        </w:rPr>
      </w:r>
    </w:p>
    <w:p>
      <w:pPr>
        <w:pStyle w:val="Normal1"/>
        <w:jc w:val="both"/>
        <w:rPr>
          <w:rFonts w:ascii="Arial" w:hAnsi="Arial" w:eastAsia="Arial" w:cs="Arial"/>
          <w:b/>
          <w:b/>
          <w:sz w:val="22"/>
          <w:szCs w:val="22"/>
        </w:rPr>
      </w:pPr>
      <w:r>
        <w:rPr>
          <w:rFonts w:eastAsia="Arial" w:cs="Arial" w:ascii="Arial" w:hAnsi="Arial"/>
          <w:b/>
          <w:sz w:val="22"/>
          <w:szCs w:val="22"/>
        </w:rPr>
      </w:r>
    </w:p>
    <w:p>
      <w:pPr>
        <w:pStyle w:val="Normal1"/>
        <w:jc w:val="both"/>
        <w:rPr>
          <w:rFonts w:ascii="Arial" w:hAnsi="Arial" w:eastAsia="Arial" w:cs="Arial"/>
          <w:b/>
          <w:b/>
          <w:sz w:val="22"/>
          <w:szCs w:val="22"/>
        </w:rPr>
      </w:pPr>
      <w:r>
        <w:rPr>
          <w:rFonts w:eastAsia="Arial" w:cs="Arial" w:ascii="Arial" w:hAnsi="Arial"/>
          <w:b/>
          <w:sz w:val="22"/>
          <w:szCs w:val="22"/>
        </w:rPr>
        <w:t>Tabela 2 - Produção de matéria verde (MV) e matéria seca (MS) por hectare dos tratamentos Pastagem Sem Árvore (PSA), Sistema Silvipastoril 5% (SSPnu5) e Sistema Silvipastoril 10% (SSPnu10).</w:t>
      </w:r>
    </w:p>
    <w:tbl>
      <w:tblPr>
        <w:tblStyle w:val="Table2"/>
        <w:tblpPr w:bottomFromText="180" w:horzAnchor="text" w:leftFromText="180" w:rightFromText="180" w:tblpX="-127" w:tblpY="0" w:topFromText="180" w:vertAnchor="text"/>
        <w:tblW w:w="9765" w:type="dxa"/>
        <w:jc w:val="left"/>
        <w:tblInd w:w="0" w:type="dxa"/>
        <w:tblLayout w:type="fixed"/>
        <w:tblCellMar>
          <w:top w:w="0" w:type="dxa"/>
          <w:left w:w="0" w:type="dxa"/>
          <w:bottom w:w="0" w:type="dxa"/>
          <w:right w:w="0" w:type="dxa"/>
        </w:tblCellMar>
        <w:tblLook w:val="0600"/>
      </w:tblPr>
      <w:tblGrid>
        <w:gridCol w:w="2669"/>
        <w:gridCol w:w="1665"/>
        <w:gridCol w:w="1561"/>
        <w:gridCol w:w="1410"/>
        <w:gridCol w:w="1575"/>
        <w:gridCol w:w="884"/>
      </w:tblGrid>
      <w:tr>
        <w:trPr>
          <w:trHeight w:val="540" w:hRule="atLeast"/>
        </w:trPr>
        <w:tc>
          <w:tcPr>
            <w:tcW w:w="2669"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VARIÁVEIS </w:t>
            </w:r>
          </w:p>
        </w:tc>
        <w:tc>
          <w:tcPr>
            <w:tcW w:w="1665"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PSA </w:t>
            </w:r>
          </w:p>
        </w:tc>
        <w:tc>
          <w:tcPr>
            <w:tcW w:w="1561"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SSPnu5 </w:t>
            </w:r>
          </w:p>
        </w:tc>
        <w:tc>
          <w:tcPr>
            <w:tcW w:w="1410"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SSPnu10 </w:t>
            </w:r>
          </w:p>
        </w:tc>
        <w:tc>
          <w:tcPr>
            <w:tcW w:w="1575"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Erro Padrão </w:t>
            </w:r>
          </w:p>
        </w:tc>
        <w:tc>
          <w:tcPr>
            <w:tcW w:w="884" w:type="dxa"/>
            <w:tcBorders>
              <w:top w:val="single" w:sz="6" w:space="0" w:color="000000"/>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P </w:t>
            </w:r>
          </w:p>
        </w:tc>
      </w:tr>
      <w:tr>
        <w:trPr>
          <w:trHeight w:val="555" w:hRule="atLeast"/>
        </w:trPr>
        <w:tc>
          <w:tcPr>
            <w:tcW w:w="2669" w:type="dxa"/>
            <w:tcBorders>
              <w:top w:val="single" w:sz="6" w:space="0" w:color="000000"/>
            </w:tcBorders>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MV.HA</w:t>
            </w:r>
            <w:r>
              <w:rPr>
                <w:rFonts w:eastAsia="Arial" w:cs="Arial" w:ascii="Arial" w:hAnsi="Arial"/>
                <w:sz w:val="20"/>
                <w:szCs w:val="20"/>
                <w:vertAlign w:val="superscript"/>
              </w:rPr>
              <w:t>-1</w:t>
            </w:r>
            <w:r>
              <w:rPr>
                <w:rFonts w:eastAsia="Arial" w:cs="Arial" w:ascii="Arial" w:hAnsi="Arial"/>
                <w:sz w:val="20"/>
                <w:szCs w:val="20"/>
              </w:rPr>
              <w:t xml:space="preserve"> </w:t>
            </w:r>
          </w:p>
        </w:tc>
        <w:tc>
          <w:tcPr>
            <w:tcW w:w="1665"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4.044 </w:t>
            </w:r>
          </w:p>
        </w:tc>
        <w:tc>
          <w:tcPr>
            <w:tcW w:w="1561"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3.756 </w:t>
            </w:r>
          </w:p>
        </w:tc>
        <w:tc>
          <w:tcPr>
            <w:tcW w:w="1410"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3.967 </w:t>
            </w:r>
          </w:p>
        </w:tc>
        <w:tc>
          <w:tcPr>
            <w:tcW w:w="1575"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332 </w:t>
            </w:r>
          </w:p>
        </w:tc>
        <w:tc>
          <w:tcPr>
            <w:tcW w:w="884"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0,80 </w:t>
            </w:r>
          </w:p>
        </w:tc>
      </w:tr>
      <w:tr>
        <w:trPr>
          <w:trHeight w:val="555" w:hRule="atLeast"/>
        </w:trPr>
        <w:tc>
          <w:tcPr>
            <w:tcW w:w="2669" w:type="dxa"/>
            <w:tcBorders>
              <w:bottom w:val="single" w:sz="6" w:space="0" w:color="000000"/>
            </w:tcBorders>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Intervalo de Confiança </w:t>
            </w:r>
          </w:p>
        </w:tc>
        <w:tc>
          <w:tcPr>
            <w:tcW w:w="1665"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3.415-4.672 </w:t>
            </w:r>
          </w:p>
        </w:tc>
        <w:tc>
          <w:tcPr>
            <w:tcW w:w="1561"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3.065-4.447 </w:t>
            </w:r>
          </w:p>
        </w:tc>
        <w:tc>
          <w:tcPr>
            <w:tcW w:w="1410"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    </w:t>
            </w:r>
            <w:r>
              <w:rPr>
                <w:rFonts w:eastAsia="Arial" w:cs="Arial" w:ascii="Arial" w:hAnsi="Arial"/>
                <w:sz w:val="20"/>
                <w:szCs w:val="20"/>
              </w:rPr>
              <w:t xml:space="preserve">3.273-4.662 </w:t>
            </w:r>
          </w:p>
        </w:tc>
        <w:tc>
          <w:tcPr>
            <w:tcW w:w="1575"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 </w:t>
            </w:r>
          </w:p>
        </w:tc>
        <w:tc>
          <w:tcPr>
            <w:tcW w:w="884"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 </w:t>
            </w:r>
          </w:p>
        </w:tc>
      </w:tr>
      <w:tr>
        <w:trPr>
          <w:trHeight w:val="555" w:hRule="atLeast"/>
        </w:trPr>
        <w:tc>
          <w:tcPr>
            <w:tcW w:w="2669" w:type="dxa"/>
            <w:tcBorders>
              <w:top w:val="single" w:sz="6" w:space="0" w:color="000000"/>
            </w:tcBorders>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MS.HA</w:t>
            </w:r>
            <w:r>
              <w:rPr>
                <w:rFonts w:eastAsia="Arial" w:cs="Arial" w:ascii="Arial" w:hAnsi="Arial"/>
                <w:sz w:val="20"/>
                <w:szCs w:val="20"/>
                <w:vertAlign w:val="superscript"/>
              </w:rPr>
              <w:t>-1</w:t>
            </w:r>
            <w:r>
              <w:rPr>
                <w:rFonts w:eastAsia="Arial" w:cs="Arial" w:ascii="Arial" w:hAnsi="Arial"/>
                <w:sz w:val="20"/>
                <w:szCs w:val="20"/>
              </w:rPr>
              <w:t xml:space="preserve"> </w:t>
            </w:r>
          </w:p>
        </w:tc>
        <w:tc>
          <w:tcPr>
            <w:tcW w:w="1665"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1.273 </w:t>
            </w:r>
          </w:p>
        </w:tc>
        <w:tc>
          <w:tcPr>
            <w:tcW w:w="1561"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1.235 </w:t>
            </w:r>
          </w:p>
        </w:tc>
        <w:tc>
          <w:tcPr>
            <w:tcW w:w="1410"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1.192 </w:t>
            </w:r>
          </w:p>
        </w:tc>
        <w:tc>
          <w:tcPr>
            <w:tcW w:w="1575"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118 </w:t>
            </w:r>
          </w:p>
        </w:tc>
        <w:tc>
          <w:tcPr>
            <w:tcW w:w="884" w:type="dxa"/>
            <w:tcBorders>
              <w:top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0,87 </w:t>
            </w:r>
          </w:p>
        </w:tc>
      </w:tr>
      <w:tr>
        <w:trPr>
          <w:trHeight w:val="555" w:hRule="atLeast"/>
        </w:trPr>
        <w:tc>
          <w:tcPr>
            <w:tcW w:w="2669" w:type="dxa"/>
            <w:tcBorders>
              <w:bottom w:val="single" w:sz="6" w:space="0" w:color="000000"/>
            </w:tcBorders>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Intervalo de Confiança </w:t>
            </w:r>
          </w:p>
        </w:tc>
        <w:tc>
          <w:tcPr>
            <w:tcW w:w="1665"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1.047-1.499 </w:t>
            </w:r>
          </w:p>
        </w:tc>
        <w:tc>
          <w:tcPr>
            <w:tcW w:w="1561"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988-1.482 </w:t>
            </w:r>
          </w:p>
        </w:tc>
        <w:tc>
          <w:tcPr>
            <w:tcW w:w="1410" w:type="dxa"/>
            <w:tcBorders>
              <w:bottom w:val="single" w:sz="6" w:space="0" w:color="000000"/>
            </w:tcBorders>
            <w:vAlign w:val="center"/>
          </w:tcPr>
          <w:p>
            <w:pPr>
              <w:pStyle w:val="Normal1"/>
              <w:widowControl w:val="false"/>
              <w:pBdr/>
              <w:ind w:left="-440" w:hanging="0"/>
              <w:jc w:val="center"/>
              <w:rPr>
                <w:rFonts w:ascii="Arial" w:hAnsi="Arial" w:eastAsia="Arial" w:cs="Arial"/>
                <w:sz w:val="20"/>
                <w:szCs w:val="20"/>
              </w:rPr>
            </w:pPr>
            <w:r>
              <w:rPr>
                <w:rFonts w:eastAsia="Arial" w:cs="Arial" w:ascii="Arial" w:hAnsi="Arial"/>
                <w:sz w:val="20"/>
                <w:szCs w:val="20"/>
              </w:rPr>
              <w:t xml:space="preserve">947-1.438 </w:t>
            </w:r>
          </w:p>
        </w:tc>
        <w:tc>
          <w:tcPr>
            <w:tcW w:w="1575" w:type="dxa"/>
            <w:tcBorders>
              <w:bottom w:val="single" w:sz="6" w:space="0" w:color="000000"/>
            </w:tcBorders>
            <w:vAlign w:val="center"/>
          </w:tcPr>
          <w:p>
            <w:pPr>
              <w:pStyle w:val="Normal1"/>
              <w:widowControl w:val="false"/>
              <w:pBdr/>
              <w:ind w:left="-440" w:hanging="0"/>
              <w:jc w:val="center"/>
              <w:rPr>
                <w:rFonts w:ascii="Arial" w:hAnsi="Arial" w:eastAsia="Arial" w:cs="Arial"/>
                <w:sz w:val="22"/>
                <w:szCs w:val="22"/>
              </w:rPr>
            </w:pPr>
            <w:r>
              <w:rPr>
                <w:rFonts w:eastAsia="Arial" w:cs="Arial" w:ascii="Arial" w:hAnsi="Arial"/>
                <w:sz w:val="22"/>
                <w:szCs w:val="22"/>
              </w:rPr>
              <w:t xml:space="preserve"> </w:t>
            </w:r>
          </w:p>
        </w:tc>
        <w:tc>
          <w:tcPr>
            <w:tcW w:w="884" w:type="dxa"/>
            <w:tcBorders>
              <w:bottom w:val="single" w:sz="6" w:space="0" w:color="000000"/>
            </w:tcBorders>
            <w:vAlign w:val="center"/>
          </w:tcPr>
          <w:p>
            <w:pPr>
              <w:pStyle w:val="Normal1"/>
              <w:widowControl w:val="false"/>
              <w:pBdr/>
              <w:ind w:left="-440" w:hanging="0"/>
              <w:jc w:val="center"/>
              <w:rPr>
                <w:rFonts w:ascii="Arial" w:hAnsi="Arial" w:eastAsia="Arial" w:cs="Arial"/>
                <w:sz w:val="22"/>
                <w:szCs w:val="22"/>
              </w:rPr>
            </w:pPr>
            <w:r>
              <w:rPr>
                <w:rFonts w:eastAsia="Arial" w:cs="Arial" w:ascii="Arial" w:hAnsi="Arial"/>
                <w:sz w:val="22"/>
                <w:szCs w:val="22"/>
              </w:rPr>
              <w:t xml:space="preserve"> </w:t>
            </w:r>
          </w:p>
        </w:tc>
      </w:tr>
    </w:tbl>
    <w:p>
      <w:pPr>
        <w:pStyle w:val="Normal1"/>
        <w:ind w:firstLine="720"/>
        <w:jc w:val="both"/>
        <w:rPr>
          <w:rFonts w:ascii="Arial" w:hAnsi="Arial" w:eastAsia="Arial" w:cs="Arial"/>
          <w:sz w:val="22"/>
          <w:szCs w:val="22"/>
        </w:rPr>
      </w:pPr>
      <w:r>
        <w:rPr>
          <w:rFonts w:eastAsia="Arial" w:cs="Arial" w:ascii="Arial" w:hAnsi="Arial"/>
          <w:sz w:val="22"/>
          <w:szCs w:val="22"/>
        </w:rPr>
        <w:t xml:space="preserve">Silva, et al. (2020) no município de Santa Rosa do Sul, região sul do Brasil, com predominância em seu sistema das gramíneas </w:t>
      </w:r>
      <w:r>
        <w:rPr>
          <w:rFonts w:eastAsia="Arial" w:cs="Arial" w:ascii="Arial" w:hAnsi="Arial"/>
          <w:i/>
          <w:sz w:val="22"/>
          <w:szCs w:val="22"/>
        </w:rPr>
        <w:t>Axonopus catharinensis e Hemarthria altíssima</w:t>
      </w:r>
      <w:r>
        <w:rPr>
          <w:rFonts w:eastAsia="Arial" w:cs="Arial" w:ascii="Arial" w:hAnsi="Arial"/>
          <w:sz w:val="22"/>
          <w:szCs w:val="22"/>
        </w:rPr>
        <w:t xml:space="preserve"> pastejadas sob o sistema de Voisin e com piquetes 10% por ha compostos por núcleos arbóreos também não resultaram em diferença tanto em produção de MV.HA</w:t>
      </w:r>
      <w:r>
        <w:rPr>
          <w:rFonts w:eastAsia="Arial" w:cs="Arial" w:ascii="Arial" w:hAnsi="Arial"/>
          <w:sz w:val="22"/>
          <w:szCs w:val="22"/>
          <w:vertAlign w:val="superscript"/>
        </w:rPr>
        <w:t>-1</w:t>
      </w:r>
      <w:r>
        <w:rPr>
          <w:rFonts w:eastAsia="Arial" w:cs="Arial" w:ascii="Arial" w:hAnsi="Arial"/>
          <w:sz w:val="22"/>
          <w:szCs w:val="22"/>
        </w:rPr>
        <w:t xml:space="preserve"> quanto MS.HA</w:t>
      </w:r>
      <w:r>
        <w:rPr>
          <w:rFonts w:eastAsia="Arial" w:cs="Arial" w:ascii="Arial" w:hAnsi="Arial"/>
          <w:sz w:val="22"/>
          <w:szCs w:val="22"/>
          <w:vertAlign w:val="superscript"/>
        </w:rPr>
        <w:t>-1</w:t>
      </w:r>
      <w:r>
        <w:rPr>
          <w:rFonts w:eastAsia="Arial" w:cs="Arial" w:ascii="Arial" w:hAnsi="Arial"/>
          <w:sz w:val="22"/>
          <w:szCs w:val="22"/>
        </w:rPr>
        <w:t xml:space="preserve">, mesmo com a dominância de apenas 2 espécies de forrageiras. </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b/>
          <w:sz w:val="22"/>
          <w:szCs w:val="22"/>
        </w:rPr>
      </w:pPr>
      <w:r>
        <w:rPr>
          <w:rFonts w:eastAsia="Arial" w:cs="Arial" w:ascii="Arial" w:hAnsi="Arial"/>
          <w:b/>
          <w:sz w:val="22"/>
          <w:szCs w:val="22"/>
        </w:rPr>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Conclusão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Conclui-se que, a presença de árvores na forma de núcleos arbóreos em piquetes na densidade de 5% e 10 % da área não interfere não reduz a produção de massa na pastagem.</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Referências: </w:t>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b/>
          <w:b/>
          <w:sz w:val="22"/>
          <w:szCs w:val="22"/>
        </w:rPr>
      </w:pPr>
      <w:r>
        <w:rPr>
          <w:rFonts w:eastAsia="Arial" w:cs="Arial" w:ascii="Arial" w:hAnsi="Arial"/>
          <w:b/>
          <w:sz w:val="22"/>
          <w:szCs w:val="22"/>
        </w:rPr>
      </w:r>
    </w:p>
    <w:p>
      <w:pPr>
        <w:pStyle w:val="Normal1"/>
        <w:keepNext w:val="false"/>
        <w:keepLines w:val="false"/>
        <w:pageBreakBefore w:val="false"/>
        <w:widowControl/>
        <w:pBdr/>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t xml:space="preserve">BATTISTI, L.F.Z.; FILHO, A.L.S.; LOSS, A., SINISGALLI, P.A.A.; </w:t>
      </w:r>
      <w:r>
        <w:rPr>
          <w:rFonts w:eastAsia="Arial" w:cs="Arial" w:ascii="Arial" w:hAnsi="Arial"/>
          <w:b/>
          <w:sz w:val="22"/>
          <w:szCs w:val="22"/>
        </w:rPr>
        <w:t>Soil chemical attributes in a high biodiversity silvopastoral system</w:t>
      </w:r>
      <w:r>
        <w:rPr>
          <w:rFonts w:eastAsia="Arial" w:cs="Arial" w:ascii="Arial" w:hAnsi="Arial"/>
          <w:sz w:val="22"/>
          <w:szCs w:val="22"/>
        </w:rPr>
        <w:t xml:space="preserve">. Acta agronómica, v. 67, n.4, p. 486-493, 1 out. 2018. </w:t>
      </w:r>
      <w:hyperlink r:id="rId4">
        <w:r>
          <w:rPr>
            <w:rFonts w:eastAsia="Arial" w:cs="Arial" w:ascii="Arial" w:hAnsi="Arial"/>
            <w:sz w:val="22"/>
            <w:szCs w:val="22"/>
          </w:rPr>
          <w:t>https://doi.org/10.15446/acag.v67n4.70180</w:t>
        </w:r>
      </w:hyperlink>
      <w:r>
        <w:rPr>
          <w:rFonts w:eastAsia="Arial" w:cs="Arial" w:ascii="Arial" w:hAnsi="Arial"/>
          <w:sz w:val="22"/>
          <w:szCs w:val="22"/>
        </w:rPr>
        <w:t>.</w:t>
      </w:r>
    </w:p>
    <w:p>
      <w:pPr>
        <w:pStyle w:val="Normal1"/>
        <w:spacing w:lineRule="auto" w:line="276" w:before="240" w:after="240"/>
        <w:jc w:val="both"/>
        <w:rPr>
          <w:rFonts w:ascii="Arial" w:hAnsi="Arial" w:eastAsia="Arial" w:cs="Arial"/>
          <w:sz w:val="22"/>
          <w:szCs w:val="22"/>
        </w:rPr>
      </w:pPr>
      <w:r>
        <w:rPr>
          <w:rFonts w:eastAsia="Arial" w:cs="Arial" w:ascii="Arial" w:hAnsi="Arial"/>
          <w:sz w:val="22"/>
          <w:szCs w:val="22"/>
        </w:rPr>
        <w:t xml:space="preserve">BOSI, C., PEZZOPANE, J.M.R.; SENTELHAS, P.C.; SANTOS, P.M.; NICODEMO, M.L.F.;  </w:t>
      </w:r>
      <w:r>
        <w:rPr>
          <w:rFonts w:eastAsia="Arial" w:cs="Arial" w:ascii="Arial" w:hAnsi="Arial"/>
          <w:b/>
          <w:sz w:val="22"/>
          <w:szCs w:val="22"/>
        </w:rPr>
        <w:t>Produtividade e características biométricas do capim-braquiária em sistema silvipastoril</w:t>
      </w:r>
      <w:r>
        <w:rPr>
          <w:rFonts w:eastAsia="Arial" w:cs="Arial" w:ascii="Arial" w:hAnsi="Arial"/>
          <w:sz w:val="22"/>
          <w:szCs w:val="22"/>
        </w:rPr>
        <w:t xml:space="preserve">. Pesquisa Agropecuária Brasileira, v. 49, n. 6, p. 449-456, jun. 2014. FapUNIFESP (SciELO). </w:t>
      </w:r>
      <w:hyperlink r:id="rId5">
        <w:r>
          <w:rPr>
            <w:rFonts w:eastAsia="Arial" w:cs="Arial" w:ascii="Arial" w:hAnsi="Arial"/>
            <w:color w:val="1155CC"/>
            <w:sz w:val="22"/>
            <w:szCs w:val="22"/>
            <w:u w:val="single"/>
          </w:rPr>
          <w:t>https://doi.org/10.1590/S0100-204X2014000600006</w:t>
        </w:r>
      </w:hyperlink>
      <w:r>
        <w:rPr>
          <w:rFonts w:eastAsia="Arial" w:cs="Arial" w:ascii="Arial" w:hAnsi="Arial"/>
          <w:sz w:val="22"/>
          <w:szCs w:val="22"/>
        </w:rPr>
        <w:t>.</w:t>
      </w:r>
    </w:p>
    <w:p>
      <w:pPr>
        <w:pStyle w:val="Normal1"/>
        <w:spacing w:lineRule="auto" w:line="276" w:before="240" w:after="240"/>
        <w:jc w:val="both"/>
        <w:rPr>
          <w:rFonts w:ascii="Arial" w:hAnsi="Arial" w:eastAsia="Arial" w:cs="Arial"/>
          <w:color w:val="00000A"/>
        </w:rPr>
      </w:pPr>
      <w:r>
        <w:rPr>
          <w:rFonts w:eastAsia="Arial" w:cs="Arial" w:ascii="Arial" w:hAnsi="Arial"/>
          <w:color w:val="00000A"/>
          <w:sz w:val="22"/>
          <w:szCs w:val="22"/>
        </w:rPr>
        <w:t xml:space="preserve">PINHEIRO MACHADO FILHO, L.C.; SEÓ, H.L.S.; DAROS, R.R.; ENRIQUEZ-HIDALGO, D.; WENDLING, A.V.; PINHEIRO MACHADO, L.C. </w:t>
      </w:r>
      <w:r>
        <w:rPr>
          <w:rFonts w:eastAsia="Arial" w:cs="Arial" w:ascii="Arial" w:hAnsi="Arial"/>
          <w:b/>
          <w:color w:val="00000A"/>
          <w:sz w:val="22"/>
          <w:szCs w:val="22"/>
        </w:rPr>
        <w:t>Voisin Rational Grazing as a Sustainable Alternative for Livestock Production</w:t>
      </w:r>
      <w:r>
        <w:rPr>
          <w:rFonts w:eastAsia="Arial" w:cs="Arial" w:ascii="Arial" w:hAnsi="Arial"/>
          <w:color w:val="00000A"/>
          <w:sz w:val="22"/>
          <w:szCs w:val="22"/>
        </w:rPr>
        <w:t xml:space="preserve">. Animals 2021, 11, </w:t>
      </w:r>
      <w:hyperlink r:id="rId6">
        <w:r>
          <w:rPr>
            <w:rFonts w:eastAsia="Arial" w:cs="Arial" w:ascii="Arial" w:hAnsi="Arial"/>
            <w:color w:val="1155CC"/>
            <w:sz w:val="22"/>
            <w:szCs w:val="22"/>
            <w:u w:val="single"/>
          </w:rPr>
          <w:t xml:space="preserve">3494. </w:t>
        </w:r>
      </w:hyperlink>
      <w:hyperlink r:id="rId7">
        <w:r>
          <w:rPr>
            <w:rFonts w:eastAsia="Arial" w:cs="Arial" w:ascii="Arial" w:hAnsi="Arial"/>
            <w:color w:val="1155CC"/>
            <w:sz w:val="22"/>
            <w:szCs w:val="22"/>
            <w:highlight w:val="white"/>
            <w:u w:val="single"/>
          </w:rPr>
          <w:t>https://doi.org/10.3390/ani11123494</w:t>
        </w:r>
      </w:hyperlink>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Fonts w:eastAsia="Arial" w:cs="Arial" w:ascii="Arial" w:hAnsi="Arial"/>
          <w:color w:val="00000A"/>
        </w:rPr>
      </w:r>
    </w:p>
    <w:p>
      <w:pPr>
        <w:pStyle w:val="Normal1"/>
        <w:keepNext w:val="false"/>
        <w:keepLines w:val="false"/>
        <w:pageBreakBefore w:val="false"/>
        <w:widowControl/>
        <w:pBdr/>
        <w:shd w:val="clear" w:fill="auto"/>
        <w:spacing w:lineRule="auto" w:line="240" w:before="0" w:after="0"/>
        <w:ind w:left="0" w:right="284" w:hanging="0"/>
        <w:jc w:val="both"/>
        <w:rPr>
          <w:rFonts w:ascii="Arial" w:hAnsi="Arial" w:eastAsia="Arial" w:cs="Arial"/>
          <w:color w:val="00000A"/>
        </w:rPr>
      </w:pPr>
      <w:r>
        <w:rPr/>
      </w:r>
    </w:p>
    <w:sectPr>
      <w:headerReference w:type="default" r:id="rId8"/>
      <w:footerReference w:type="default" r:id="rId9"/>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Georgia">
    <w:charset w:val="00"/>
    <w:family w:val="roman"/>
    <w:pitch w:val="variable"/>
  </w:font>
  <w:font w:name="Arial">
    <w:charset w:val="00"/>
    <w:family w:val="roman"/>
    <w:pitch w:val="variable"/>
  </w:font>
  <w:font w:name="Cambria">
    <w:charset w:val="00"/>
    <w:family w:val="roman"/>
    <w:pitch w:val="variable"/>
  </w:font>
  <w:font w:name="Helvetica Neu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pBdr/>
      <w:shd w:val="clear" w:fill="auto"/>
      <w:tabs>
        <w:tab w:val="clear" w:pos="720"/>
        <w:tab w:val="right" w:pos="9020" w:leader="none"/>
      </w:tabs>
      <w:spacing w:lineRule="auto" w:line="240" w:before="0" w:after="0"/>
      <w:ind w:left="0" w:right="0" w:hanging="0"/>
      <w:jc w:val="left"/>
      <w:rPr>
        <w:rFonts w:ascii="Helvetica Neue" w:hAnsi="Helvetica Neue" w:eastAsia="Helvetica Neue" w:cs="Helvetica Neue"/>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Helvetica Neue" w:cs="Helvetica Neue" w:ascii="Helvetica Neue" w:hAnsi="Helvetica Neue"/>
        <w:b w:val="false"/>
        <w:i w:val="false"/>
        <w:caps w:val="false"/>
        <w:smallCaps w:val="false"/>
        <w:strike w:val="false"/>
        <w:dstrike w:val="false"/>
        <w:color w:val="000000"/>
        <w:position w:val="0"/>
        <w:sz w:val="24"/>
        <w:sz w:val="24"/>
        <w:szCs w:val="24"/>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pageBreakBefore w:val="false"/>
      <w:widowControl/>
      <w:pBdr/>
      <w:shd w:val="clear" w:fill="auto"/>
      <w:spacing w:lineRule="auto" w:line="240" w:before="0" w:after="0"/>
      <w:ind w:left="0" w:right="0" w:hanging="0"/>
      <w:jc w:val="left"/>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Cambria" w:cs="Cambria" w:ascii="Cambria" w:hAnsi="Cambria"/>
        <w:b w:val="false"/>
        <w:i w:val="false"/>
        <w:caps w:val="false"/>
        <w:smallCaps w:val="false"/>
        <w:strike w:val="false"/>
        <w:dstrike w:val="false"/>
        <w:color w:val="00000A"/>
        <w:position w:val="0"/>
        <w:sz w:val="24"/>
        <w:sz w:val="24"/>
        <w:szCs w:val="24"/>
        <w:u w:val="none"/>
        <w:shd w:fill="auto" w:val="clear"/>
        <w:vertAlign w:val="baseline"/>
      </w:rPr>
      <w:drawing>
        <wp:anchor behindDoc="1" distT="152400" distB="152400" distL="152400" distR="152400" simplePos="0" locked="0" layoutInCell="0" allowOverlap="1" relativeHeight="4">
          <wp:simplePos x="0" y="0"/>
          <wp:positionH relativeFrom="page">
            <wp:posOffset>3175</wp:posOffset>
          </wp:positionH>
          <wp:positionV relativeFrom="page">
            <wp:posOffset>0</wp:posOffset>
          </wp:positionV>
          <wp:extent cx="7556500" cy="1115060"/>
          <wp:effectExtent l="0" t="0" r="0" b="0"/>
          <wp:wrapTopAndBottom/>
          <wp:docPr id="2" name="image1.jpg"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bidi w:val="0"/>
      <w:spacing w:before="0" w:after="0"/>
      <w:jc w:val="left"/>
    </w:pPr>
    <w:rPr>
      <w:rFonts w:ascii="Times New Roman" w:hAnsi="Times New Roman" w:eastAsia="NSimSun" w:cs="Arial"/>
      <w:color w:val="auto"/>
      <w:kern w:val="0"/>
      <w:sz w:val="24"/>
      <w:szCs w:val="24"/>
      <w:lang w:val="en-US" w:eastAsia="zh-CN" w:bidi="hi-IN"/>
    </w:rPr>
  </w:style>
  <w:style w:type="paragraph" w:styleId="Ttulo1">
    <w:name w:val="Heading 1"/>
    <w:basedOn w:val="Normal1"/>
    <w:next w:val="Normal1"/>
    <w:qFormat/>
    <w:pPr>
      <w:keepNext w:val="true"/>
      <w:keepLines/>
      <w:pageBreakBefore w:val="false"/>
      <w:spacing w:lineRule="auto" w:line="240" w:before="480" w:after="120"/>
    </w:pPr>
    <w:rPr>
      <w:b/>
      <w:sz w:val="48"/>
      <w:szCs w:val="48"/>
    </w:rPr>
  </w:style>
  <w:style w:type="paragraph" w:styleId="Ttulo2">
    <w:name w:val="Heading 2"/>
    <w:basedOn w:val="Normal1"/>
    <w:next w:val="Normal1"/>
    <w:qFormat/>
    <w:pPr>
      <w:keepNext w:val="true"/>
      <w:keepLines/>
      <w:pageBreakBefore w:val="false"/>
      <w:spacing w:lineRule="auto" w:line="240" w:before="360" w:after="80"/>
    </w:pPr>
    <w:rPr>
      <w:b/>
      <w:sz w:val="36"/>
      <w:szCs w:val="36"/>
    </w:rPr>
  </w:style>
  <w:style w:type="paragraph" w:styleId="Ttulo3">
    <w:name w:val="Heading 3"/>
    <w:basedOn w:val="Normal1"/>
    <w:next w:val="Normal1"/>
    <w:qFormat/>
    <w:pPr>
      <w:keepNext w:val="true"/>
      <w:keepLines/>
      <w:pageBreakBefore w:val="false"/>
      <w:spacing w:lineRule="auto" w:line="240" w:before="280" w:after="80"/>
    </w:pPr>
    <w:rPr>
      <w:b/>
      <w:sz w:val="28"/>
      <w:szCs w:val="28"/>
    </w:rPr>
  </w:style>
  <w:style w:type="paragraph" w:styleId="Ttulo4">
    <w:name w:val="Heading 4"/>
    <w:basedOn w:val="Normal1"/>
    <w:next w:val="Normal1"/>
    <w:qFormat/>
    <w:pPr>
      <w:keepNext w:val="true"/>
      <w:keepLines/>
      <w:pageBreakBefore w:val="false"/>
      <w:spacing w:lineRule="auto" w:line="240" w:before="240" w:after="40"/>
    </w:pPr>
    <w:rPr>
      <w:b/>
      <w:sz w:val="24"/>
      <w:szCs w:val="24"/>
    </w:rPr>
  </w:style>
  <w:style w:type="paragraph" w:styleId="Ttulo5">
    <w:name w:val="Heading 5"/>
    <w:basedOn w:val="Normal1"/>
    <w:next w:val="Normal1"/>
    <w:qFormat/>
    <w:pPr>
      <w:keepNext w:val="true"/>
      <w:keepLines/>
      <w:pageBreakBefore w:val="false"/>
      <w:spacing w:lineRule="auto" w:line="240" w:before="220" w:after="40"/>
    </w:pPr>
    <w:rPr>
      <w:b/>
      <w:sz w:val="22"/>
      <w:szCs w:val="22"/>
    </w:rPr>
  </w:style>
  <w:style w:type="paragraph" w:styleId="Ttulo6">
    <w:name w:val="Heading 6"/>
    <w:basedOn w:val="Normal1"/>
    <w:next w:val="Normal1"/>
    <w:qFormat/>
    <w:pPr>
      <w:keepNext w:val="true"/>
      <w:keepLines/>
      <w:pageBreakBefore w:val="false"/>
      <w:spacing w:lineRule="auto" w:line="240" w:before="200" w:after="40"/>
    </w:pPr>
    <w:rPr>
      <w:b/>
      <w:sz w:val="20"/>
      <w:szCs w:val="20"/>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Normal1" w:default="1">
    <w:name w:val="LO-normal"/>
    <w:qFormat/>
    <w:pPr>
      <w:widowControl/>
      <w:bidi w:val="0"/>
      <w:spacing w:before="0" w:after="0"/>
      <w:jc w:val="left"/>
    </w:pPr>
    <w:rPr>
      <w:rFonts w:ascii="Times New Roman" w:hAnsi="Times New Roman" w:eastAsia="NSimSun" w:cs="Arial"/>
      <w:color w:val="auto"/>
      <w:kern w:val="0"/>
      <w:sz w:val="24"/>
      <w:szCs w:val="24"/>
      <w:lang w:val="en-US" w:eastAsia="zh-CN" w:bidi="hi-IN"/>
    </w:rPr>
  </w:style>
  <w:style w:type="paragraph" w:styleId="Ttulododocumento">
    <w:name w:val="Title"/>
    <w:basedOn w:val="Normal1"/>
    <w:next w:val="Normal1"/>
    <w:qFormat/>
    <w:pPr>
      <w:keepNext w:val="true"/>
      <w:keepLines/>
      <w:pageBreakBefore w:val="false"/>
      <w:spacing w:lineRule="auto" w:line="240" w:before="480" w:after="120"/>
    </w:pPr>
    <w:rPr>
      <w:b/>
      <w:sz w:val="72"/>
      <w:szCs w:val="72"/>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ristiandewes@hotmail.com" TargetMode="External"/><Relationship Id="rId3" Type="http://schemas.openxmlformats.org/officeDocument/2006/relationships/image" Target="media/image1.jpeg"/><Relationship Id="rId4" Type="http://schemas.openxmlformats.org/officeDocument/2006/relationships/hyperlink" Target="https://doi.org/10.15446/acag.v67n4.70180" TargetMode="External"/><Relationship Id="rId5" Type="http://schemas.openxmlformats.org/officeDocument/2006/relationships/hyperlink" Target="https://doi.org/10.1590/S0100-204X2014000600006" TargetMode="External"/><Relationship Id="rId6" Type="http://schemas.openxmlformats.org/officeDocument/2006/relationships/hyperlink" Target="https://doi.org/10.3390/ani11123494" TargetMode="External"/><Relationship Id="rId7" Type="http://schemas.openxmlformats.org/officeDocument/2006/relationships/hyperlink" Target="https://doi.org/10.3390/ani11123494"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LibreOffice/7.3.2.2$Windows_X86_64 LibreOffice_project/49f2b1bff42cfccbd8f788c8dc32c1c309559be0</Application>
  <AppVersion>15.0000</AppVersion>
  <Pages>3</Pages>
  <Words>1138</Words>
  <Characters>6323</Characters>
  <CharactersWithSpaces>7437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revision>0</cp:revision>
  <dc:subject/>
  <dc:title/>
</cp:coreProperties>
</file>