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ind w:right="284" w:hanging="0"/>
        <w:jc w:val="center"/>
        <w:rPr>
          <w:rFonts w:ascii="Arial" w:hAnsi="Arial" w:cs="Arial"/>
          <w:lang w:val="pt-BR"/>
        </w:rPr>
      </w:pPr>
      <w:r>
        <w:drawing>
          <wp:anchor behindDoc="0" distT="0" distB="0" distL="114300" distR="114300" simplePos="0" locked="0" layoutInCell="0" allowOverlap="1" relativeHeight="2">
            <wp:simplePos x="0" y="0"/>
            <wp:positionH relativeFrom="page">
              <wp:align>right</wp:align>
            </wp:positionH>
            <wp:positionV relativeFrom="page">
              <wp:align>top</wp:align>
            </wp:positionV>
            <wp:extent cx="7533005" cy="1094105"/>
            <wp:effectExtent l="0" t="0" r="0" b="0"/>
            <wp:wrapSquare wrapText="bothSides"/>
            <wp:docPr id="1"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Cabeçalho SBSS-02.jpg"/>
                    <pic:cNvPicPr>
                      <a:picLocks noChangeAspect="1" noChangeArrowheads="1"/>
                    </pic:cNvPicPr>
                  </pic:nvPicPr>
                  <pic:blipFill>
                    <a:blip r:embed="rId2"/>
                    <a:stretch>
                      <a:fillRect/>
                    </a:stretch>
                  </pic:blipFill>
                  <pic:spPr bwMode="auto">
                    <a:xfrm>
                      <a:off x="0" y="0"/>
                      <a:ext cx="7533005" cy="1094105"/>
                    </a:xfrm>
                    <a:prstGeom prst="rect">
                      <a:avLst/>
                    </a:prstGeom>
                  </pic:spPr>
                </pic:pic>
              </a:graphicData>
            </a:graphic>
          </wp:anchor>
        </w:drawing>
      </w:r>
      <w:r>
        <w:rPr>
          <w:rStyle w:val="Normaltextrun"/>
          <w:rFonts w:cs="Arial" w:ascii="Arial" w:hAnsi="Arial"/>
          <w:b/>
          <w:bCs/>
          <w:color w:val="000000"/>
          <w:sz w:val="28"/>
          <w:szCs w:val="28"/>
          <w:lang w:val="pt-BR"/>
        </w:rPr>
        <w:t>ANÁLISE ESTATÍSTICA DESCRITIVA DE SILAGENS DE MILHO UTILIZADAS NO NOROESTE GAÚCHO – CARBOIDRATOS FIBROSOS</w:t>
      </w:r>
    </w:p>
    <w:p>
      <w:pPr>
        <w:pStyle w:val="LOnormal"/>
        <w:ind w:right="284" w:hanging="0"/>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ind w:right="284" w:hanging="0"/>
        <w:jc w:val="center"/>
        <w:rPr>
          <w:rFonts w:ascii="Arial" w:hAnsi="Arial" w:cs="Arial"/>
          <w:color w:val="000000" w:themeColor="text1"/>
          <w:sz w:val="20"/>
          <w:szCs w:val="20"/>
          <w:lang w:val="pt-BR"/>
        </w:rPr>
      </w:pPr>
      <w:r>
        <w:rPr>
          <w:rFonts w:cs="Arial" w:ascii="Arial" w:hAnsi="Arial"/>
          <w:color w:val="auto"/>
          <w:sz w:val="20"/>
          <w:szCs w:val="20"/>
          <w:u w:val="single"/>
          <w:lang w:val="pt-BR"/>
        </w:rPr>
        <w:t>Giovana Siqueira Giacomelli</w:t>
      </w:r>
      <w:r>
        <w:rPr>
          <w:rFonts w:cs="Arial" w:ascii="Arial" w:hAnsi="Arial"/>
          <w:color w:val="000000" w:themeColor="text1"/>
          <w:sz w:val="20"/>
          <w:szCs w:val="20"/>
          <w:vertAlign w:val="superscript"/>
          <w:lang w:val="pt-BR"/>
        </w:rPr>
        <w:t xml:space="preserve"> 1</w:t>
      </w:r>
      <w:r>
        <w:rPr>
          <w:rFonts w:cs="Arial" w:ascii="Arial" w:hAnsi="Arial"/>
          <w:color w:val="auto"/>
          <w:sz w:val="20"/>
          <w:szCs w:val="20"/>
          <w:lang w:val="pt-BR"/>
        </w:rPr>
        <w:t>, Fabiana Ortiz Melo</w:t>
      </w:r>
      <w:r>
        <w:rPr>
          <w:rFonts w:cs="Arial" w:ascii="Arial" w:hAnsi="Arial"/>
          <w:color w:val="000000" w:themeColor="text1"/>
          <w:sz w:val="20"/>
          <w:szCs w:val="20"/>
          <w:vertAlign w:val="superscript"/>
          <w:lang w:val="pt-BR"/>
        </w:rPr>
        <w:t xml:space="preserve"> 1</w:t>
      </w:r>
      <w:r>
        <w:rPr>
          <w:rFonts w:cs="Arial" w:ascii="Arial" w:hAnsi="Arial"/>
          <w:color w:val="000000" w:themeColor="text1"/>
          <w:sz w:val="20"/>
          <w:szCs w:val="20"/>
          <w:lang w:val="pt-BR"/>
        </w:rPr>
        <w:t>,</w:t>
      </w:r>
      <w:r>
        <w:rPr>
          <w:rFonts w:cs="Arial" w:ascii="Arial" w:hAnsi="Arial"/>
          <w:color w:val="000000" w:themeColor="text1"/>
          <w:sz w:val="20"/>
          <w:szCs w:val="20"/>
          <w:vertAlign w:val="superscript"/>
          <w:lang w:val="pt-BR"/>
        </w:rPr>
        <w:t xml:space="preserve"> </w:t>
      </w:r>
      <w:r>
        <w:rPr>
          <w:rFonts w:cs="Arial" w:ascii="Arial" w:hAnsi="Arial"/>
          <w:color w:val="auto"/>
          <w:sz w:val="20"/>
          <w:szCs w:val="20"/>
          <w:lang w:val="pt-BR"/>
        </w:rPr>
        <w:t>Maria Marina Cabral</w:t>
      </w:r>
      <w:r>
        <w:rPr>
          <w:rFonts w:cs="Arial" w:ascii="Arial" w:hAnsi="Arial"/>
          <w:color w:val="000000" w:themeColor="text1"/>
          <w:sz w:val="20"/>
          <w:szCs w:val="20"/>
          <w:vertAlign w:val="superscript"/>
          <w:lang w:val="pt-BR"/>
        </w:rPr>
        <w:t xml:space="preserve"> 1</w:t>
      </w:r>
      <w:r>
        <w:rPr>
          <w:rFonts w:cs="Arial" w:ascii="Arial" w:hAnsi="Arial"/>
          <w:color w:val="auto"/>
          <w:sz w:val="20"/>
          <w:szCs w:val="20"/>
          <w:lang w:val="pt-BR"/>
        </w:rPr>
        <w:t>, Ione Maria Pereira Haygert-Velho</w:t>
      </w:r>
      <w:r>
        <w:rPr>
          <w:rFonts w:cs="Arial" w:ascii="Arial" w:hAnsi="Arial"/>
          <w:color w:val="000000" w:themeColor="text1"/>
          <w:sz w:val="20"/>
          <w:szCs w:val="20"/>
          <w:vertAlign w:val="superscript"/>
          <w:lang w:val="pt-BR"/>
        </w:rPr>
        <w:t xml:space="preserve"> 2</w:t>
      </w:r>
      <w:r>
        <w:rPr>
          <w:rFonts w:cs="Arial" w:ascii="Arial" w:hAnsi="Arial"/>
          <w:color w:val="auto"/>
          <w:sz w:val="20"/>
          <w:szCs w:val="20"/>
          <w:lang w:val="pt-BR"/>
        </w:rPr>
        <w:t>, João Pedro Velho</w:t>
      </w:r>
      <w:r>
        <w:rPr>
          <w:rFonts w:cs="Arial" w:ascii="Arial" w:hAnsi="Arial"/>
          <w:color w:val="000000" w:themeColor="text1"/>
          <w:sz w:val="20"/>
          <w:szCs w:val="20"/>
          <w:vertAlign w:val="superscript"/>
          <w:lang w:val="pt-BR"/>
        </w:rPr>
        <w:t xml:space="preserve"> 2</w:t>
      </w:r>
      <w:r>
        <w:rPr>
          <w:rFonts w:cs="Arial" w:ascii="Arial" w:hAnsi="Arial"/>
          <w:color w:val="auto"/>
          <w:sz w:val="20"/>
          <w:szCs w:val="20"/>
          <w:lang w:val="pt-BR"/>
        </w:rPr>
        <w:t>, Fabrício de Oliveira Almeida</w:t>
      </w:r>
      <w:r>
        <w:rPr>
          <w:rFonts w:cs="Arial" w:ascii="Arial" w:hAnsi="Arial"/>
          <w:color w:val="000000" w:themeColor="text1"/>
          <w:sz w:val="20"/>
          <w:szCs w:val="20"/>
          <w:vertAlign w:val="superscript"/>
          <w:lang w:val="pt-BR"/>
        </w:rPr>
        <w:t xml:space="preserve"> 3</w:t>
      </w:r>
    </w:p>
    <w:p>
      <w:pPr>
        <w:pStyle w:val="LOnormal"/>
        <w:ind w:right="284" w:hanging="0"/>
        <w:jc w:val="center"/>
        <w:rPr>
          <w:rFonts w:ascii="Arial" w:hAnsi="Arial" w:cs="Arial"/>
          <w:color w:val="000000" w:themeColor="text1"/>
          <w:sz w:val="20"/>
          <w:szCs w:val="20"/>
          <w:vertAlign w:val="superscript"/>
          <w:lang w:val="pt-BR"/>
        </w:rPr>
      </w:pPr>
      <w:r>
        <w:rPr>
          <w:rFonts w:cs="Arial" w:ascii="Arial" w:hAnsi="Arial"/>
          <w:color w:val="000000" w:themeColor="text1"/>
          <w:sz w:val="20"/>
          <w:szCs w:val="20"/>
          <w:vertAlign w:val="superscript"/>
          <w:lang w:val="pt-BR"/>
        </w:rPr>
      </w:r>
    </w:p>
    <w:p>
      <w:pPr>
        <w:pStyle w:val="LOnormal"/>
        <w:ind w:right="284" w:hanging="0"/>
        <w:jc w:val="center"/>
        <w:rPr>
          <w:rFonts w:ascii="Arial" w:hAnsi="Arial" w:eastAsia="Arial" w:cs="Arial"/>
          <w:color w:val="000000" w:themeColor="text1"/>
          <w:sz w:val="20"/>
          <w:szCs w:val="20"/>
          <w:lang w:val="pt-BR"/>
        </w:rPr>
      </w:pPr>
      <w:r>
        <w:rPr>
          <w:rFonts w:eastAsia="Arial" w:cs="Arial" w:ascii="Arial" w:hAnsi="Arial"/>
          <w:color w:val="000000" w:themeColor="text1"/>
          <w:sz w:val="20"/>
          <w:szCs w:val="20"/>
          <w:vertAlign w:val="superscript"/>
          <w:lang w:val="pt-BR"/>
        </w:rPr>
        <w:t>1</w:t>
      </w:r>
      <w:r>
        <w:rPr>
          <w:rFonts w:eastAsia="Arial" w:cs="Arial" w:ascii="Arial" w:hAnsi="Arial"/>
          <w:color w:val="000000" w:themeColor="text1"/>
          <w:sz w:val="20"/>
          <w:szCs w:val="20"/>
          <w:lang w:val="pt-BR"/>
        </w:rPr>
        <w:t xml:space="preserve"> Universidade Federal de Santa Maria, Curso de Zootecnia, </w:t>
      </w:r>
      <w:r>
        <w:rPr>
          <w:rFonts w:eastAsia="Arial" w:cs="Arial" w:ascii="Arial" w:hAnsi="Arial"/>
          <w:color w:val="000000" w:themeColor="text1"/>
          <w:sz w:val="20"/>
          <w:szCs w:val="20"/>
          <w:vertAlign w:val="superscript"/>
          <w:lang w:val="pt-BR"/>
        </w:rPr>
        <w:t>2</w:t>
      </w:r>
      <w:r>
        <w:rPr>
          <w:rFonts w:eastAsia="Arial" w:cs="Arial" w:ascii="Arial" w:hAnsi="Arial"/>
          <w:color w:val="000000" w:themeColor="text1"/>
          <w:sz w:val="20"/>
          <w:szCs w:val="20"/>
          <w:lang w:val="pt-BR"/>
        </w:rPr>
        <w:t xml:space="preserve"> Universidade Federal de Santa Maria, Departamento de Zootecnia e Ciências Biológicas, </w:t>
      </w:r>
      <w:r>
        <w:rPr>
          <w:rFonts w:eastAsia="Arial" w:cs="Arial" w:ascii="Arial" w:hAnsi="Arial"/>
          <w:color w:val="000000" w:themeColor="text1"/>
          <w:sz w:val="20"/>
          <w:szCs w:val="20"/>
          <w:vertAlign w:val="superscript"/>
          <w:lang w:val="pt-BR"/>
        </w:rPr>
        <w:t xml:space="preserve">3 </w:t>
      </w:r>
      <w:r>
        <w:rPr>
          <w:rFonts w:eastAsia="Arial" w:cs="Arial" w:ascii="Arial" w:hAnsi="Arial"/>
          <w:color w:val="000000" w:themeColor="text1"/>
          <w:sz w:val="20"/>
          <w:szCs w:val="20"/>
          <w:lang w:val="pt-BR"/>
        </w:rPr>
        <w:t>Agrotech Soluções Agrícolas</w:t>
      </w:r>
    </w:p>
    <w:p>
      <w:pPr>
        <w:pStyle w:val="LOnormal"/>
        <w:ind w:right="284" w:hanging="0"/>
        <w:jc w:val="center"/>
        <w:rPr>
          <w:rFonts w:ascii="Arial" w:hAnsi="Arial" w:eastAsia="Arial" w:cs="Arial"/>
          <w:color w:val="000000"/>
          <w:sz w:val="22"/>
          <w:szCs w:val="22"/>
          <w:lang w:val="pt-BR"/>
        </w:rPr>
      </w:pPr>
      <w:r>
        <w:rPr>
          <w:rFonts w:cs="Arial" w:ascii="Arial" w:hAnsi="Arial"/>
          <w:color w:val="000000" w:themeColor="text1"/>
          <w:sz w:val="20"/>
          <w:szCs w:val="20"/>
          <w:lang w:val="pt-BR"/>
        </w:rPr>
        <w:t>E-mail: giovana.zoot@gmail.com</w:t>
      </w:r>
    </w:p>
    <w:p>
      <w:pPr>
        <w:pStyle w:val="LOnormal"/>
        <w:ind w:right="284" w:hanging="0"/>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Contribuição para a sociedade</w:t>
      </w:r>
      <w:r>
        <w:rPr>
          <w:rFonts w:cs="Arial" w:ascii="Arial" w:hAnsi="Arial"/>
          <w:color w:val="000000"/>
          <w:sz w:val="22"/>
          <w:szCs w:val="22"/>
          <w:u w:val="none" w:color="000000"/>
          <w:lang w:val="pt-BR"/>
        </w:rPr>
        <w:t xml:space="preserve">: </w:t>
      </w:r>
    </w:p>
    <w:p>
      <w:pPr>
        <w:pStyle w:val="LOnormal"/>
        <w:jc w:val="both"/>
        <w:rPr>
          <w:rFonts w:ascii="Arial" w:hAnsi="Arial" w:cs="Arial"/>
          <w:sz w:val="22"/>
          <w:szCs w:val="22"/>
          <w:lang w:val="pt-BR"/>
        </w:rPr>
      </w:pPr>
      <w:r>
        <w:rPr>
          <w:rFonts w:eastAsia="Arial" w:cs="Arial" w:ascii="Arial" w:hAnsi="Arial"/>
          <w:color w:val="000000"/>
          <w:sz w:val="22"/>
          <w:szCs w:val="22"/>
          <w:u w:val="none" w:color="000000"/>
          <w:lang w:val="pt-BR"/>
        </w:rPr>
        <w:t>O avanço de conhecimento de composição bromatológica de silagens permite um aproveitamento dos alimentos em sua maior potencialidade compreendendo seu real valor nutritivo, proporcionando o desenvolvimento de uma produção sustentável, além disso, favorece a entrega de produtos de qualidade ao consumidor e, para mais, motiva o produtor a manter-se na cadeia. Objetivou-se</w:t>
      </w:r>
      <w:r>
        <w:rPr>
          <w:rFonts w:cs="Arial" w:ascii="Arial" w:hAnsi="Arial"/>
          <w:bCs/>
          <w:color w:val="000000"/>
          <w:sz w:val="22"/>
          <w:szCs w:val="22"/>
          <w:u w:val="none" w:color="000000"/>
          <w:lang w:val="pt-BR"/>
        </w:rPr>
        <w:t xml:space="preserve"> descrever a composição dos carboidratos fibrosos de silagens utilizadas no noroeste do Rio Grande do Sul.</w:t>
      </w:r>
      <w:r>
        <w:rPr>
          <w:rFonts w:cs="Arial" w:ascii="Arial" w:hAnsi="Arial"/>
          <w:sz w:val="22"/>
          <w:szCs w:val="22"/>
          <w:lang w:val="pt-BR"/>
        </w:rPr>
        <w:t xml:space="preserve"> A média encontrada para Matéria Seca foi de 37,75%, para Fibra em detergente Ácido 28,05%, para Fibra em detergente Neutro foi de 47,03%, para FDNmo foi de 45,31%, para Lignina foi de 4,91%, para Amido em percentual da matéria seca 25,64%, para Amido em percentual dos carboidratos não fibrosos foi de 66,05%, e a velocidade de degradação da FDN média encontrada foi de 4,51% por hora.</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Palavras-chave</w:t>
      </w:r>
      <w:r>
        <w:rPr>
          <w:rFonts w:cs="Arial" w:ascii="Arial" w:hAnsi="Arial"/>
          <w:color w:val="000000"/>
          <w:sz w:val="22"/>
          <w:szCs w:val="22"/>
          <w:u w:val="none" w:color="000000"/>
          <w:lang w:val="pt-BR"/>
        </w:rPr>
        <w:t>: Bromatológica, Lignina, Amido.</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b/>
          <w:b/>
          <w:bCs/>
          <w:color w:val="000000"/>
          <w:sz w:val="22"/>
          <w:szCs w:val="22"/>
          <w:u w:val="none" w:color="000000"/>
          <w:lang w:val="pt-BR"/>
        </w:rPr>
      </w:pPr>
      <w:r>
        <w:rPr>
          <w:rFonts w:cs="Arial" w:ascii="Arial" w:hAnsi="Arial"/>
          <w:b/>
          <w:bCs/>
          <w:color w:val="000000"/>
          <w:sz w:val="22"/>
          <w:szCs w:val="22"/>
          <w:u w:val="none" w:color="000000"/>
          <w:lang w:val="pt-BR"/>
        </w:rPr>
        <w:t xml:space="preserve">Introdução: </w:t>
      </w:r>
    </w:p>
    <w:p>
      <w:pPr>
        <w:pStyle w:val="LOnormal"/>
        <w:jc w:val="both"/>
        <w:rPr>
          <w:rFonts w:ascii="Arial" w:hAnsi="Arial" w:cs="Arial"/>
          <w:bCs/>
          <w:color w:val="000000"/>
          <w:sz w:val="22"/>
          <w:szCs w:val="22"/>
          <w:u w:val="none" w:color="000000"/>
          <w:lang w:val="pt-BR"/>
        </w:rPr>
      </w:pPr>
      <w:r>
        <w:rPr>
          <w:rFonts w:eastAsia="Arial" w:cs="Arial" w:ascii="Arial" w:hAnsi="Arial"/>
          <w:color w:val="000000"/>
          <w:sz w:val="22"/>
          <w:szCs w:val="22"/>
          <w:u w:val="none" w:color="000000"/>
          <w:lang w:val="pt-BR"/>
        </w:rPr>
        <w:t xml:space="preserve">No Rio Grande do Sul e em muitos outros lugares, a silagem de milho </w:t>
      </w:r>
      <w:r>
        <w:rPr>
          <w:rFonts w:cs="Arial" w:ascii="Arial" w:hAnsi="Arial"/>
          <w:bCs/>
          <w:color w:val="000000"/>
          <w:sz w:val="22"/>
          <w:szCs w:val="22"/>
          <w:u w:val="none" w:color="000000"/>
          <w:lang w:val="pt-BR"/>
        </w:rPr>
        <w:t>(</w:t>
      </w:r>
      <w:r>
        <w:rPr>
          <w:rFonts w:cs="Arial" w:ascii="Arial" w:hAnsi="Arial"/>
          <w:bCs/>
          <w:i/>
          <w:color w:val="000000"/>
          <w:sz w:val="22"/>
          <w:szCs w:val="22"/>
          <w:u w:val="none" w:color="000000"/>
          <w:lang w:val="pt-BR"/>
        </w:rPr>
        <w:t>Zea mays L.</w:t>
      </w:r>
      <w:r>
        <w:rPr>
          <w:rFonts w:cs="Arial" w:ascii="Arial" w:hAnsi="Arial"/>
          <w:bCs/>
          <w:color w:val="000000"/>
          <w:sz w:val="22"/>
          <w:szCs w:val="22"/>
          <w:u w:val="none" w:color="000000"/>
          <w:lang w:val="pt-BR"/>
        </w:rPr>
        <w:t xml:space="preserve">) é utilizada como base das dietas de ruminantes, assim como, também é utilizada como suplementação em momentos de escassez </w:t>
      </w:r>
      <w:sdt>
        <w:sdtPr>
          <w:id w:val="1744675781"/>
          <w:placeholder>
            <w:docPart w:val="DefaultPlaceholder_-1854013440"/>
          </w:placeholder>
        </w:sdtPr>
        <w:sdtContent>
          <w:r>
            <w:rPr/>
            <w:t>(VIANA et al., 2002)</w:t>
          </w:r>
        </w:sdtContent>
      </w:sdt>
      <w:r>
        <w:rPr>
          <w:rFonts w:cs="Arial" w:ascii="Arial" w:hAnsi="Arial"/>
          <w:bCs/>
          <w:color w:val="000000"/>
          <w:sz w:val="22"/>
          <w:szCs w:val="22"/>
          <w:u w:val="none" w:color="000000"/>
          <w:lang w:val="pt-BR"/>
        </w:rPr>
        <w:t>.</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 xml:space="preserve">O balanceamento de dietas que atendam o requerimento nutricional dos animais é se suma importância para a viabilidade de produção, para tal, se faz necessário o conhecimento da composição, qualidade e digestibilidade dos ingredientes, principalmente os de base, como a silagem de milho </w:t>
      </w:r>
      <w:sdt>
        <w:sdtPr>
          <w:id w:val="1764086500"/>
          <w:placeholder>
            <w:docPart w:val="DefaultPlaceholder_-1854013440"/>
          </w:placeholder>
        </w:sdtPr>
        <w:sdtContent>
          <w:r>
            <w:rPr/>
            <w:t>(MELLO &amp; NÖRNBERG, 2004)</w:t>
          </w:r>
        </w:sdtContent>
      </w:sdt>
      <w:r>
        <w:rPr>
          <w:rFonts w:eastAsia="Arial" w:cs="Arial" w:ascii="Arial" w:hAnsi="Arial"/>
          <w:color w:val="000000"/>
          <w:sz w:val="22"/>
          <w:szCs w:val="22"/>
          <w:u w:val="none" w:color="000000"/>
          <w:lang w:val="pt-BR"/>
        </w:rPr>
        <w:t xml:space="preserve">.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O avanço de conhecimento de composição bromatológica de silagens permite um aproveitamento dos alimentos em sua maior potencialidade compreendendo seu real valor nutritivo, proporcionando o desenvolvimento de uma produção sustentável, além disso, favorece a entrega de produtos de qualidade ao consumidor e, para mais, motiva o produtor a manter-se na cadeia. Objetivou-se</w:t>
      </w:r>
      <w:r>
        <w:rPr>
          <w:rFonts w:cs="Arial" w:ascii="Arial" w:hAnsi="Arial"/>
          <w:bCs/>
          <w:color w:val="000000"/>
          <w:sz w:val="22"/>
          <w:szCs w:val="22"/>
          <w:u w:val="none" w:color="000000"/>
          <w:lang w:val="pt-BR"/>
        </w:rPr>
        <w:t xml:space="preserve"> descrever o perfil de composição dos carboidratos fibrosos de silagens utilizadas no noroeste do Rio Grande do Sul.</w:t>
      </w:r>
    </w:p>
    <w:p>
      <w:pPr>
        <w:pStyle w:val="LOnormal"/>
        <w:jc w:val="both"/>
        <w:rPr>
          <w:rFonts w:ascii="Arial" w:hAnsi="Arial" w:cs="Arial"/>
          <w:bCs/>
          <w:color w:val="000000"/>
          <w:sz w:val="22"/>
          <w:szCs w:val="22"/>
          <w:u w:val="none" w:color="000000"/>
          <w:lang w:val="pt-BR"/>
        </w:rPr>
      </w:pPr>
      <w:r>
        <w:rPr>
          <w:rFonts w:cs="Arial" w:ascii="Arial" w:hAnsi="Arial"/>
          <w:bCs/>
          <w:color w:val="000000"/>
          <w:sz w:val="22"/>
          <w:szCs w:val="22"/>
          <w:u w:val="none" w:color="000000"/>
          <w:lang w:val="pt-BR"/>
        </w:rPr>
      </w:r>
    </w:p>
    <w:p>
      <w:pPr>
        <w:pStyle w:val="LOnormal"/>
        <w:jc w:val="both"/>
        <w:rPr>
          <w:rFonts w:ascii="Arial" w:hAnsi="Arial" w:cs="Arial"/>
          <w:b/>
          <w:b/>
          <w:bCs/>
          <w:color w:val="000000"/>
          <w:sz w:val="22"/>
          <w:szCs w:val="22"/>
          <w:u w:val="none" w:color="000000"/>
          <w:lang w:val="pt-BR"/>
        </w:rPr>
      </w:pPr>
      <w:bookmarkStart w:id="0" w:name="_headingh.30j0zll"/>
      <w:bookmarkEnd w:id="0"/>
      <w:r>
        <w:rPr>
          <w:rFonts w:cs="Arial" w:ascii="Arial" w:hAnsi="Arial"/>
          <w:b/>
          <w:bCs/>
          <w:color w:val="000000"/>
          <w:sz w:val="22"/>
          <w:szCs w:val="22"/>
          <w:u w:val="none" w:color="000000"/>
          <w:lang w:val="pt-BR"/>
        </w:rPr>
        <w:t>Material e métodos:</w:t>
      </w:r>
    </w:p>
    <w:p>
      <w:pPr>
        <w:pStyle w:val="LOnormal"/>
        <w:jc w:val="both"/>
        <w:rPr>
          <w:rFonts w:ascii="Arial" w:hAnsi="Arial" w:cs="Arial"/>
          <w:color w:val="000000"/>
          <w:sz w:val="22"/>
          <w:szCs w:val="22"/>
          <w:lang w:val="pt-BR"/>
        </w:rPr>
      </w:pPr>
      <w:r>
        <w:rPr>
          <w:rFonts w:cs="Arial" w:ascii="Arial" w:hAnsi="Arial"/>
          <w:color w:val="000000"/>
          <w:sz w:val="22"/>
          <w:szCs w:val="22"/>
          <w:lang w:val="pt-BR"/>
        </w:rPr>
        <w:t xml:space="preserve">Foram coletadas 44 amostras de silagens de milho de planta inteira pela equipe técnica da empresa Agrotech Soluções Agrícolas, oriundas de silos trincheira, silo superfície e silo bola, cujas silagens estavam sendo utilizadas para alimentação de bovinos de leite e corte durante os anos de 2022 e 2023. Os municípios que fazem parte das amostras são: Almirante Tamandaré, Boa Vista das Missões, Cerro Grande, Chapada, Dois Irmãos das Missões, Erval Seco e Palmeira das Missões. As amostras foram analisadas por laboratório terceirizado através do método </w:t>
      </w:r>
      <w:r>
        <w:rPr>
          <w:rFonts w:eastAsia="Arial" w:cs="Arial" w:ascii="Arial" w:hAnsi="Arial"/>
          <w:color w:val="000000"/>
          <w:sz w:val="22"/>
          <w:szCs w:val="22"/>
          <w:lang w:val="pt-BR"/>
        </w:rPr>
        <w:t>Near Infrared Spectroscopy - Espectroscopia no Infravermelho Próximo- NIRS. Foram analisados os teores de matéria seca (MS), fibra em detergente ácido (FDA), fibra em detergente neutro (FDN), fibra em detergente neutro livre de cinzas (FDNmo), lignina, amido em percentual da MS, amido em percentual dos carboidratos não fibrosos (CNF) e velocidade de degradação da FDN</w:t>
      </w:r>
      <w:r>
        <w:rPr>
          <w:rFonts w:cs="Arial" w:ascii="Arial" w:hAnsi="Arial"/>
          <w:color w:val="000000"/>
          <w:sz w:val="22"/>
          <w:szCs w:val="22"/>
          <w:lang w:val="pt-BR"/>
        </w:rPr>
        <w:t xml:space="preserve">. Os resultados das análises foram tabulados em planilha Excel® para facilitar a realização da análise estatística descritiva pelo software MiniTab®. </w:t>
      </w:r>
    </w:p>
    <w:p>
      <w:pPr>
        <w:pStyle w:val="LOnormal"/>
        <w:jc w:val="both"/>
        <w:rPr>
          <w:rFonts w:ascii="Arial" w:hAnsi="Arial" w:eastAsia="Times New Roman" w:cs="Arial"/>
          <w:color w:val="000000"/>
          <w:sz w:val="22"/>
          <w:szCs w:val="22"/>
          <w:u w:val="none" w:color="000000"/>
          <w:lang w:val="pt-BR"/>
        </w:rPr>
      </w:pPr>
      <w:r>
        <w:rPr>
          <w:rFonts w:eastAsia="Times New Roman" w:cs="Arial" w:ascii="Arial" w:hAnsi="Arial"/>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Resultados e discussões:</w:t>
      </w:r>
      <w:r>
        <w:rPr>
          <w:rFonts w:cs="Arial" w:ascii="Arial" w:hAnsi="Arial"/>
          <w:color w:val="000000"/>
          <w:sz w:val="22"/>
          <w:szCs w:val="22"/>
          <w:u w:val="none" w:color="000000"/>
          <w:lang w:val="pt-BR"/>
        </w:rPr>
        <w:t xml:space="preserve"> </w:t>
      </w:r>
    </w:p>
    <w:p>
      <w:pPr>
        <w:pStyle w:val="LOnormal"/>
        <w:jc w:val="both"/>
        <w:rPr>
          <w:rFonts w:ascii="Arial" w:hAnsi="Arial" w:cs="Arial"/>
          <w:color w:val="000000"/>
          <w:sz w:val="22"/>
          <w:szCs w:val="22"/>
          <w:lang w:val="pt-BR"/>
        </w:rPr>
      </w:pPr>
      <w:r>
        <w:rPr>
          <w:rFonts w:cs="Arial" w:ascii="Arial" w:hAnsi="Arial"/>
          <w:color w:val="000000"/>
          <w:sz w:val="22"/>
          <w:szCs w:val="22"/>
          <w:lang w:val="pt-BR"/>
        </w:rPr>
        <w:t xml:space="preserve">Os carboidratos totais são classificados em frações, conforme suas taxas de degradação. A fração A, contém os açúcares solúveis, que são prontamente fermentados no rúmen, a fração B1 composta por amido e pectina, apresenta taxa de degradação média, a fração B2, constituída por celulose e hemicelulose, corresponde à fração lenta e potencialmente digerível da parede celular e fração C, composta pela porção indigerível ao longo do trato gastrointestinal </w:t>
      </w:r>
      <w:sdt>
        <w:sdtPr>
          <w:id w:val="1943874853"/>
          <w:placeholder>
            <w:docPart w:val="A55F972BF9E4440D8F6CC037B48D5E12"/>
          </w:placeholder>
        </w:sdtPr>
        <w:sdtContent>
          <w:r>
            <w:rPr/>
            <w:t>(Sniffen et al., 1992)</w:t>
          </w:r>
        </w:sdtContent>
      </w:sdt>
      <w:r>
        <w:rPr>
          <w:rFonts w:cs="Arial" w:ascii="Arial" w:hAnsi="Arial"/>
          <w:color w:val="000000"/>
          <w:sz w:val="22"/>
          <w:szCs w:val="22"/>
          <w:lang w:val="pt-BR"/>
        </w:rPr>
        <w:t>.</w:t>
      </w:r>
      <w:r>
        <w:rPr>
          <w:rFonts w:cs="Arial" w:ascii="Arial" w:hAnsi="Arial"/>
          <w:color w:val="000000"/>
          <w:sz w:val="22"/>
          <w:szCs w:val="22"/>
          <w:lang w:val="pt-BR"/>
        </w:rPr>
        <w:t xml:space="preserve"> </w:t>
      </w:r>
      <w:r>
        <w:rPr>
          <w:rFonts w:cs="Arial" w:ascii="Arial" w:hAnsi="Arial"/>
          <w:sz w:val="22"/>
          <w:szCs w:val="22"/>
          <w:lang w:val="pt-BR"/>
        </w:rPr>
        <w:t xml:space="preserve">Os valores de composição dos carboidratos das amostras de silagens estão descritos na tabela 1. </w:t>
      </w:r>
      <w:bookmarkStart w:id="1" w:name="_GoBack"/>
      <w:bookmarkEnd w:id="1"/>
    </w:p>
    <w:p>
      <w:pPr>
        <w:pStyle w:val="LOnormal"/>
        <w:ind w:firstLine="720"/>
        <w:jc w:val="both"/>
        <w:rPr>
          <w:rFonts w:ascii="Arial" w:hAnsi="Arial" w:cs="Arial"/>
          <w:sz w:val="22"/>
          <w:szCs w:val="22"/>
          <w:lang w:val="pt-BR"/>
        </w:rPr>
      </w:pPr>
      <w:r>
        <w:rPr>
          <w:rFonts w:cs="Arial" w:ascii="Arial" w:hAnsi="Arial"/>
          <w:sz w:val="22"/>
          <w:szCs w:val="22"/>
          <w:lang w:val="pt-BR"/>
        </w:rPr>
      </w:r>
    </w:p>
    <w:p>
      <w:pPr>
        <w:pStyle w:val="LOnormal"/>
        <w:jc w:val="both"/>
        <w:rPr>
          <w:rFonts w:ascii="Arial" w:hAnsi="Arial" w:cs="Arial"/>
          <w:b/>
          <w:b/>
          <w:sz w:val="20"/>
          <w:szCs w:val="20"/>
          <w:lang w:val="pt-BR"/>
        </w:rPr>
      </w:pPr>
      <w:r>
        <w:rPr>
          <w:rFonts w:cs="Arial" w:ascii="Arial" w:hAnsi="Arial"/>
          <w:b/>
          <w:sz w:val="20"/>
          <w:szCs w:val="20"/>
          <w:lang w:val="pt-BR"/>
        </w:rPr>
        <w:t>Tabela 1: Valores de carboidratos encontrados nas amostras de silagens de milho.</w:t>
      </w:r>
    </w:p>
    <w:tbl>
      <w:tblPr>
        <w:tblW w:w="8789"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2497"/>
        <w:gridCol w:w="377"/>
        <w:gridCol w:w="946"/>
        <w:gridCol w:w="1120"/>
        <w:gridCol w:w="1213"/>
        <w:gridCol w:w="2635"/>
      </w:tblGrid>
      <w:tr>
        <w:trPr>
          <w:trHeight w:val="300" w:hRule="atLeast"/>
        </w:trPr>
        <w:tc>
          <w:tcPr>
            <w:tcW w:w="2497" w:type="dxa"/>
            <w:tcBorders>
              <w:top w:val="single" w:sz="4" w:space="0" w:color="000000"/>
              <w:bottom w:val="single" w:sz="4" w:space="0" w:color="000000"/>
            </w:tcBorders>
            <w:shd w:color="auto" w:fill="auto" w:val="clear"/>
            <w:vAlign w:val="center"/>
          </w:tcPr>
          <w:p>
            <w:pPr>
              <w:pStyle w:val="Normal"/>
              <w:widowControl w:val="false"/>
              <w:pBdr/>
              <w:jc w:val="center"/>
              <w:rPr>
                <w:rFonts w:ascii="Arial" w:hAnsi="Arial" w:eastAsia="Times New Roman" w:cs="Arial"/>
                <w:b/>
                <w:b/>
                <w:bCs/>
                <w:color w:val="000000"/>
                <w:sz w:val="22"/>
                <w:szCs w:val="22"/>
                <w:lang w:val="pt-BR" w:eastAsia="pt-BR"/>
              </w:rPr>
            </w:pPr>
            <w:r>
              <w:rPr>
                <w:rFonts w:eastAsia="Times New Roman" w:cs="Arial" w:ascii="Arial" w:hAnsi="Arial"/>
                <w:b/>
                <w:bCs/>
                <w:color w:val="000000"/>
                <w:sz w:val="22"/>
                <w:szCs w:val="22"/>
                <w:lang w:val="pt-BR" w:eastAsia="pt-BR"/>
              </w:rPr>
              <w:t>VARIÁVEL </w:t>
            </w:r>
          </w:p>
        </w:tc>
        <w:tc>
          <w:tcPr>
            <w:tcW w:w="377" w:type="dxa"/>
            <w:tcBorders>
              <w:top w:val="single" w:sz="4" w:space="0" w:color="000000"/>
              <w:bottom w:val="single" w:sz="4" w:space="0" w:color="000000"/>
            </w:tcBorders>
            <w:shd w:color="auto" w:fill="auto" w:val="clear"/>
            <w:vAlign w:val="center"/>
          </w:tcPr>
          <w:p>
            <w:pPr>
              <w:pStyle w:val="Normal"/>
              <w:widowControl w:val="false"/>
              <w:pBdr/>
              <w:jc w:val="center"/>
              <w:rPr>
                <w:rFonts w:ascii="Arial" w:hAnsi="Arial" w:eastAsia="Times New Roman" w:cs="Arial"/>
                <w:b/>
                <w:b/>
                <w:bCs/>
                <w:color w:val="000000"/>
                <w:sz w:val="22"/>
                <w:szCs w:val="22"/>
                <w:lang w:val="pt-BR" w:eastAsia="pt-BR"/>
              </w:rPr>
            </w:pPr>
            <w:r>
              <w:rPr>
                <w:rFonts w:eastAsia="Times New Roman" w:cs="Arial" w:ascii="Arial" w:hAnsi="Arial"/>
                <w:b/>
                <w:bCs/>
                <w:color w:val="000000"/>
                <w:sz w:val="22"/>
                <w:szCs w:val="22"/>
                <w:lang w:val="pt-BR" w:eastAsia="pt-BR"/>
              </w:rPr>
              <w:t>N</w:t>
            </w:r>
          </w:p>
        </w:tc>
        <w:tc>
          <w:tcPr>
            <w:tcW w:w="946" w:type="dxa"/>
            <w:tcBorders>
              <w:top w:val="single" w:sz="4" w:space="0" w:color="000000"/>
              <w:bottom w:val="single" w:sz="4" w:space="0" w:color="000000"/>
            </w:tcBorders>
            <w:shd w:color="auto" w:fill="auto" w:val="clear"/>
            <w:vAlign w:val="center"/>
          </w:tcPr>
          <w:p>
            <w:pPr>
              <w:pStyle w:val="Normal"/>
              <w:widowControl w:val="false"/>
              <w:pBdr/>
              <w:jc w:val="center"/>
              <w:rPr>
                <w:rFonts w:ascii="Arial" w:hAnsi="Arial" w:eastAsia="Times New Roman" w:cs="Arial"/>
                <w:b/>
                <w:b/>
                <w:bCs/>
                <w:color w:val="000000"/>
                <w:sz w:val="22"/>
                <w:szCs w:val="22"/>
                <w:lang w:val="pt-BR" w:eastAsia="pt-BR"/>
              </w:rPr>
            </w:pPr>
            <w:r>
              <w:rPr>
                <w:rFonts w:eastAsia="Times New Roman" w:cs="Arial" w:ascii="Arial" w:hAnsi="Arial"/>
                <w:b/>
                <w:bCs/>
                <w:color w:val="000000"/>
                <w:sz w:val="22"/>
                <w:szCs w:val="22"/>
                <w:lang w:val="pt-BR" w:eastAsia="pt-BR"/>
              </w:rPr>
              <w:t>MÍNIMO</w:t>
            </w:r>
          </w:p>
        </w:tc>
        <w:tc>
          <w:tcPr>
            <w:tcW w:w="1120" w:type="dxa"/>
            <w:tcBorders>
              <w:top w:val="single" w:sz="4" w:space="0" w:color="000000"/>
              <w:bottom w:val="single" w:sz="4" w:space="0" w:color="000000"/>
            </w:tcBorders>
            <w:shd w:color="auto" w:fill="auto" w:val="clear"/>
            <w:vAlign w:val="center"/>
          </w:tcPr>
          <w:p>
            <w:pPr>
              <w:pStyle w:val="Normal"/>
              <w:widowControl w:val="false"/>
              <w:pBdr/>
              <w:jc w:val="center"/>
              <w:rPr>
                <w:rFonts w:ascii="Arial" w:hAnsi="Arial" w:eastAsia="Times New Roman" w:cs="Arial"/>
                <w:b/>
                <w:b/>
                <w:bCs/>
                <w:color w:val="000000"/>
                <w:sz w:val="22"/>
                <w:szCs w:val="22"/>
                <w:lang w:val="pt-BR" w:eastAsia="pt-BR"/>
              </w:rPr>
            </w:pPr>
            <w:r>
              <w:rPr>
                <w:rFonts w:eastAsia="Times New Roman" w:cs="Arial" w:ascii="Arial" w:hAnsi="Arial"/>
                <w:b/>
                <w:bCs/>
                <w:color w:val="000000"/>
                <w:sz w:val="22"/>
                <w:szCs w:val="22"/>
                <w:lang w:val="pt-BR" w:eastAsia="pt-BR"/>
              </w:rPr>
              <w:t>MÉDIA</w:t>
            </w:r>
          </w:p>
        </w:tc>
        <w:tc>
          <w:tcPr>
            <w:tcW w:w="1213" w:type="dxa"/>
            <w:tcBorders>
              <w:top w:val="single" w:sz="4" w:space="0" w:color="000000"/>
              <w:bottom w:val="single" w:sz="4" w:space="0" w:color="000000"/>
            </w:tcBorders>
            <w:shd w:color="auto" w:fill="auto" w:val="clear"/>
            <w:vAlign w:val="center"/>
          </w:tcPr>
          <w:p>
            <w:pPr>
              <w:pStyle w:val="Normal"/>
              <w:widowControl w:val="false"/>
              <w:pBdr/>
              <w:jc w:val="center"/>
              <w:rPr>
                <w:rFonts w:ascii="Arial" w:hAnsi="Arial" w:eastAsia="Times New Roman" w:cs="Arial"/>
                <w:b/>
                <w:b/>
                <w:bCs/>
                <w:color w:val="000000"/>
                <w:sz w:val="22"/>
                <w:szCs w:val="22"/>
                <w:lang w:val="pt-BR" w:eastAsia="pt-BR"/>
              </w:rPr>
            </w:pPr>
            <w:r>
              <w:rPr>
                <w:rFonts w:eastAsia="Times New Roman" w:cs="Arial" w:ascii="Arial" w:hAnsi="Arial"/>
                <w:b/>
                <w:bCs/>
                <w:color w:val="000000"/>
                <w:sz w:val="22"/>
                <w:szCs w:val="22"/>
                <w:lang w:val="pt-BR" w:eastAsia="pt-BR"/>
              </w:rPr>
              <w:t>MÁXIMO</w:t>
            </w:r>
          </w:p>
        </w:tc>
        <w:tc>
          <w:tcPr>
            <w:tcW w:w="2635" w:type="dxa"/>
            <w:tcBorders>
              <w:top w:val="single" w:sz="4" w:space="0" w:color="000000"/>
              <w:bottom w:val="single" w:sz="4" w:space="0" w:color="000000"/>
            </w:tcBorders>
            <w:shd w:color="auto" w:fill="auto" w:val="clear"/>
            <w:vAlign w:val="center"/>
          </w:tcPr>
          <w:p>
            <w:pPr>
              <w:pStyle w:val="Normal"/>
              <w:widowControl w:val="false"/>
              <w:pBdr/>
              <w:jc w:val="center"/>
              <w:rPr>
                <w:rFonts w:ascii="Arial" w:hAnsi="Arial" w:eastAsia="Times New Roman" w:cs="Arial"/>
                <w:b/>
                <w:b/>
                <w:bCs/>
                <w:color w:val="000000"/>
                <w:sz w:val="22"/>
                <w:szCs w:val="22"/>
                <w:lang w:val="pt-BR" w:eastAsia="pt-BR"/>
              </w:rPr>
            </w:pPr>
            <w:r>
              <w:rPr>
                <w:rFonts w:eastAsia="Times New Roman" w:cs="Arial" w:ascii="Arial" w:hAnsi="Arial"/>
                <w:b/>
                <w:bCs/>
                <w:color w:val="000000"/>
                <w:sz w:val="22"/>
                <w:szCs w:val="22"/>
                <w:lang w:val="pt-BR" w:eastAsia="pt-BR"/>
              </w:rPr>
              <w:t>ERRO PADRÃO MÉDIO</w:t>
            </w:r>
          </w:p>
        </w:tc>
      </w:tr>
      <w:tr>
        <w:trPr>
          <w:trHeight w:val="300" w:hRule="atLeast"/>
        </w:trPr>
        <w:tc>
          <w:tcPr>
            <w:tcW w:w="2497" w:type="dxa"/>
            <w:tcBorders>
              <w:top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MATÉRIA SECA (%MN)</w:t>
            </w:r>
          </w:p>
        </w:tc>
        <w:tc>
          <w:tcPr>
            <w:tcW w:w="377" w:type="dxa"/>
            <w:tcBorders>
              <w:top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44</w:t>
            </w:r>
          </w:p>
        </w:tc>
        <w:tc>
          <w:tcPr>
            <w:tcW w:w="946" w:type="dxa"/>
            <w:tcBorders>
              <w:top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22,75</w:t>
            </w:r>
          </w:p>
        </w:tc>
        <w:tc>
          <w:tcPr>
            <w:tcW w:w="1120" w:type="dxa"/>
            <w:tcBorders>
              <w:top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37,752</w:t>
            </w:r>
          </w:p>
        </w:tc>
        <w:tc>
          <w:tcPr>
            <w:tcW w:w="1213" w:type="dxa"/>
            <w:tcBorders>
              <w:top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49,64</w:t>
            </w:r>
          </w:p>
        </w:tc>
        <w:tc>
          <w:tcPr>
            <w:tcW w:w="2635" w:type="dxa"/>
            <w:tcBorders>
              <w:top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0,932</w:t>
            </w:r>
          </w:p>
        </w:tc>
      </w:tr>
      <w:tr>
        <w:trPr>
          <w:trHeight w:val="300" w:hRule="atLeast"/>
        </w:trPr>
        <w:tc>
          <w:tcPr>
            <w:tcW w:w="249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FDA (%MS)</w:t>
            </w:r>
          </w:p>
        </w:tc>
        <w:tc>
          <w:tcPr>
            <w:tcW w:w="37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44</w:t>
            </w:r>
          </w:p>
        </w:tc>
        <w:tc>
          <w:tcPr>
            <w:tcW w:w="946"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16,250</w:t>
            </w:r>
          </w:p>
        </w:tc>
        <w:tc>
          <w:tcPr>
            <w:tcW w:w="1120"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28,052</w:t>
            </w:r>
          </w:p>
        </w:tc>
        <w:tc>
          <w:tcPr>
            <w:tcW w:w="1213"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35,330</w:t>
            </w:r>
          </w:p>
        </w:tc>
        <w:tc>
          <w:tcPr>
            <w:tcW w:w="2635"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0,695</w:t>
            </w:r>
          </w:p>
        </w:tc>
      </w:tr>
      <w:tr>
        <w:trPr>
          <w:trHeight w:val="300" w:hRule="atLeast"/>
        </w:trPr>
        <w:tc>
          <w:tcPr>
            <w:tcW w:w="249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FDN (%MS)</w:t>
            </w:r>
          </w:p>
        </w:tc>
        <w:tc>
          <w:tcPr>
            <w:tcW w:w="37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43</w:t>
            </w:r>
          </w:p>
        </w:tc>
        <w:tc>
          <w:tcPr>
            <w:tcW w:w="946"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29,190</w:t>
            </w:r>
          </w:p>
        </w:tc>
        <w:tc>
          <w:tcPr>
            <w:tcW w:w="1120"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47,030</w:t>
            </w:r>
          </w:p>
        </w:tc>
        <w:tc>
          <w:tcPr>
            <w:tcW w:w="1213"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57,030</w:t>
            </w:r>
          </w:p>
        </w:tc>
        <w:tc>
          <w:tcPr>
            <w:tcW w:w="2635"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1,000</w:t>
            </w:r>
          </w:p>
        </w:tc>
      </w:tr>
      <w:tr>
        <w:trPr>
          <w:trHeight w:val="300" w:hRule="atLeast"/>
        </w:trPr>
        <w:tc>
          <w:tcPr>
            <w:tcW w:w="249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FDNmo (%MS)</w:t>
            </w:r>
          </w:p>
        </w:tc>
        <w:tc>
          <w:tcPr>
            <w:tcW w:w="37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43</w:t>
            </w:r>
          </w:p>
        </w:tc>
        <w:tc>
          <w:tcPr>
            <w:tcW w:w="946"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14,030</w:t>
            </w:r>
          </w:p>
        </w:tc>
        <w:tc>
          <w:tcPr>
            <w:tcW w:w="1120"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45,313</w:t>
            </w:r>
          </w:p>
        </w:tc>
        <w:tc>
          <w:tcPr>
            <w:tcW w:w="1213"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54,690</w:t>
            </w:r>
          </w:p>
        </w:tc>
        <w:tc>
          <w:tcPr>
            <w:tcW w:w="2635"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0,969</w:t>
            </w:r>
          </w:p>
        </w:tc>
      </w:tr>
      <w:tr>
        <w:trPr>
          <w:trHeight w:val="300" w:hRule="atLeast"/>
        </w:trPr>
        <w:tc>
          <w:tcPr>
            <w:tcW w:w="249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LIGNINA (%MS)</w:t>
            </w:r>
          </w:p>
        </w:tc>
        <w:tc>
          <w:tcPr>
            <w:tcW w:w="37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43</w:t>
            </w:r>
          </w:p>
        </w:tc>
        <w:tc>
          <w:tcPr>
            <w:tcW w:w="946"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3,290</w:t>
            </w:r>
          </w:p>
        </w:tc>
        <w:tc>
          <w:tcPr>
            <w:tcW w:w="1120"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4,919</w:t>
            </w:r>
          </w:p>
        </w:tc>
        <w:tc>
          <w:tcPr>
            <w:tcW w:w="1213"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6,560</w:t>
            </w:r>
          </w:p>
        </w:tc>
        <w:tc>
          <w:tcPr>
            <w:tcW w:w="2635"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0,112</w:t>
            </w:r>
          </w:p>
        </w:tc>
      </w:tr>
      <w:tr>
        <w:trPr>
          <w:trHeight w:val="300" w:hRule="atLeast"/>
        </w:trPr>
        <w:tc>
          <w:tcPr>
            <w:tcW w:w="249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AMIDO (%MS)</w:t>
            </w:r>
          </w:p>
        </w:tc>
        <w:tc>
          <w:tcPr>
            <w:tcW w:w="37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43</w:t>
            </w:r>
          </w:p>
        </w:tc>
        <w:tc>
          <w:tcPr>
            <w:tcW w:w="946"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8,370</w:t>
            </w:r>
          </w:p>
        </w:tc>
        <w:tc>
          <w:tcPr>
            <w:tcW w:w="1120"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25,640</w:t>
            </w:r>
          </w:p>
        </w:tc>
        <w:tc>
          <w:tcPr>
            <w:tcW w:w="1213"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51,130</w:t>
            </w:r>
          </w:p>
        </w:tc>
        <w:tc>
          <w:tcPr>
            <w:tcW w:w="2635"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1,280</w:t>
            </w:r>
          </w:p>
        </w:tc>
      </w:tr>
      <w:tr>
        <w:trPr>
          <w:trHeight w:val="300" w:hRule="atLeast"/>
        </w:trPr>
        <w:tc>
          <w:tcPr>
            <w:tcW w:w="249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AMIDO (%CNF)</w:t>
            </w:r>
          </w:p>
        </w:tc>
        <w:tc>
          <w:tcPr>
            <w:tcW w:w="377"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43</w:t>
            </w:r>
          </w:p>
        </w:tc>
        <w:tc>
          <w:tcPr>
            <w:tcW w:w="946"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29,110</w:t>
            </w:r>
          </w:p>
        </w:tc>
        <w:tc>
          <w:tcPr>
            <w:tcW w:w="1120"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66,050</w:t>
            </w:r>
          </w:p>
        </w:tc>
        <w:tc>
          <w:tcPr>
            <w:tcW w:w="1213"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88,380</w:t>
            </w:r>
          </w:p>
        </w:tc>
        <w:tc>
          <w:tcPr>
            <w:tcW w:w="2635" w:type="dxa"/>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1,900</w:t>
            </w:r>
          </w:p>
        </w:tc>
      </w:tr>
      <w:tr>
        <w:trPr>
          <w:trHeight w:val="300" w:hRule="atLeast"/>
        </w:trPr>
        <w:tc>
          <w:tcPr>
            <w:tcW w:w="2497" w:type="dxa"/>
            <w:tcBorders>
              <w:bottom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Kd do FDN (%/h)</w:t>
            </w:r>
          </w:p>
        </w:tc>
        <w:tc>
          <w:tcPr>
            <w:tcW w:w="377" w:type="dxa"/>
            <w:tcBorders>
              <w:bottom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43</w:t>
            </w:r>
          </w:p>
        </w:tc>
        <w:tc>
          <w:tcPr>
            <w:tcW w:w="946" w:type="dxa"/>
            <w:tcBorders>
              <w:bottom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0,610</w:t>
            </w:r>
          </w:p>
        </w:tc>
        <w:tc>
          <w:tcPr>
            <w:tcW w:w="1120" w:type="dxa"/>
            <w:tcBorders>
              <w:bottom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4,514</w:t>
            </w:r>
          </w:p>
        </w:tc>
        <w:tc>
          <w:tcPr>
            <w:tcW w:w="1213" w:type="dxa"/>
            <w:tcBorders>
              <w:bottom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6,330</w:t>
            </w:r>
          </w:p>
        </w:tc>
        <w:tc>
          <w:tcPr>
            <w:tcW w:w="2635" w:type="dxa"/>
            <w:tcBorders>
              <w:bottom w:val="single" w:sz="4" w:space="0" w:color="000000"/>
            </w:tcBorders>
            <w:shd w:color="auto" w:fill="auto" w:val="clear"/>
            <w:vAlign w:val="center"/>
          </w:tcPr>
          <w:p>
            <w:pPr>
              <w:pStyle w:val="Normal"/>
              <w:widowControl w:val="false"/>
              <w:pBdr/>
              <w:jc w:val="center"/>
              <w:rPr>
                <w:rFonts w:ascii="Arial" w:hAnsi="Arial" w:eastAsia="Times New Roman" w:cs="Arial"/>
                <w:color w:val="000000"/>
                <w:sz w:val="22"/>
                <w:szCs w:val="22"/>
                <w:lang w:val="pt-BR" w:eastAsia="pt-BR"/>
              </w:rPr>
            </w:pPr>
            <w:r>
              <w:rPr>
                <w:rFonts w:eastAsia="Times New Roman" w:cs="Arial" w:ascii="Arial" w:hAnsi="Arial"/>
                <w:color w:val="000000"/>
                <w:sz w:val="22"/>
                <w:szCs w:val="22"/>
                <w:lang w:val="pt-BR" w:eastAsia="pt-BR"/>
              </w:rPr>
              <w:t>0,122</w:t>
            </w:r>
          </w:p>
        </w:tc>
      </w:tr>
    </w:tbl>
    <w:p>
      <w:pPr>
        <w:pStyle w:val="LOnormal"/>
        <w:jc w:val="both"/>
        <w:rPr>
          <w:rFonts w:ascii="Arial" w:hAnsi="Arial" w:cs="Arial"/>
          <w:sz w:val="20"/>
          <w:szCs w:val="20"/>
          <w:lang w:val="pt-BR"/>
        </w:rPr>
      </w:pPr>
      <w:r>
        <w:rPr>
          <w:rFonts w:cs="Arial" w:ascii="Arial" w:hAnsi="Arial"/>
          <w:sz w:val="20"/>
          <w:szCs w:val="20"/>
          <w:lang w:val="pt-BR"/>
        </w:rPr>
        <w:t>*Kd da FDN= taxa de degradação da FDN. MN= matéria natural</w:t>
      </w:r>
    </w:p>
    <w:p>
      <w:pPr>
        <w:pStyle w:val="LOnormal"/>
        <w:jc w:val="both"/>
        <w:rPr>
          <w:rFonts w:ascii="Arial" w:hAnsi="Arial" w:cs="Arial"/>
          <w:b/>
          <w:b/>
          <w:sz w:val="20"/>
          <w:szCs w:val="20"/>
          <w:lang w:val="pt-BR"/>
        </w:rPr>
      </w:pPr>
      <w:r>
        <w:rPr>
          <w:rFonts w:cs="Arial" w:ascii="Arial" w:hAnsi="Arial"/>
          <w:b/>
          <w:sz w:val="20"/>
          <w:szCs w:val="20"/>
          <w:lang w:val="pt-BR"/>
        </w:rPr>
        <w:t>Fonte: Dados dos autores.</w:t>
      </w:r>
    </w:p>
    <w:p>
      <w:pPr>
        <w:pStyle w:val="LOnormal"/>
        <w:jc w:val="both"/>
        <w:rPr>
          <w:rFonts w:ascii="Arial" w:hAnsi="Arial" w:cs="Arial"/>
          <w:b/>
          <w:b/>
          <w:sz w:val="20"/>
          <w:szCs w:val="20"/>
          <w:lang w:val="pt-BR"/>
        </w:rPr>
      </w:pPr>
      <w:r>
        <w:rPr>
          <w:rFonts w:cs="Arial" w:ascii="Arial" w:hAnsi="Arial"/>
          <w:b/>
          <w:sz w:val="20"/>
          <w:szCs w:val="20"/>
          <w:lang w:val="pt-BR"/>
        </w:rPr>
      </w:r>
    </w:p>
    <w:p>
      <w:pPr>
        <w:pStyle w:val="LOnormal"/>
        <w:jc w:val="both"/>
        <w:rPr>
          <w:rFonts w:ascii="Arial" w:hAnsi="Arial" w:cs="Arial"/>
          <w:color w:val="000000"/>
          <w:sz w:val="22"/>
          <w:szCs w:val="22"/>
          <w:lang w:val="pt-BR"/>
        </w:rPr>
      </w:pPr>
      <w:r>
        <w:rPr>
          <w:rFonts w:cs="Arial" w:ascii="Arial" w:hAnsi="Arial"/>
          <w:color w:val="000000"/>
          <w:sz w:val="22"/>
          <w:szCs w:val="22"/>
          <w:lang w:val="pt-BR"/>
        </w:rPr>
        <w:t xml:space="preserve">Os valores de MS e FDN encontrados nas amostras (37,75% e 47,03%) estão acima dos relatados por </w:t>
      </w:r>
      <w:sdt>
        <w:sdtPr>
          <w:id w:val="2022622280"/>
          <w:placeholder>
            <w:docPart w:val="DefaultPlaceholder_-1854013440"/>
          </w:placeholder>
        </w:sdtPr>
        <w:sdtContent>
          <w:r>
            <w:rPr/>
            <w:t>Zeoula et al. (1999)</w:t>
          </w:r>
        </w:sdtContent>
      </w:sdt>
      <w:r>
        <w:rPr>
          <w:rFonts w:cs="Arial" w:ascii="Arial" w:hAnsi="Arial"/>
          <w:color w:val="000000"/>
          <w:sz w:val="22"/>
          <w:szCs w:val="22"/>
          <w:lang w:val="pt-BR"/>
        </w:rPr>
        <w:t xml:space="preserve"> que foi de</w:t>
      </w:r>
      <w:r>
        <w:rPr>
          <w:rFonts w:cs="Arial" w:ascii="Arial" w:hAnsi="Arial"/>
          <w:color w:val="000000"/>
          <w:sz w:val="22"/>
          <w:szCs w:val="22"/>
          <w:lang w:val="pt-BR"/>
        </w:rPr>
        <w:t xml:space="preserve"> 33,30% e 45,78%, já os valores de amido das amostras (25,64%) estão abaixo dos encontrados neste mesmo trabalho (31,6% da MS). </w:t>
      </w:r>
    </w:p>
    <w:p>
      <w:pPr>
        <w:pStyle w:val="LOnormal"/>
        <w:jc w:val="both"/>
        <w:rPr>
          <w:rFonts w:ascii="Arial" w:hAnsi="Arial" w:cs="Arial"/>
          <w:color w:val="000000"/>
          <w:sz w:val="22"/>
          <w:szCs w:val="22"/>
          <w:lang w:val="pt-BR"/>
        </w:rPr>
      </w:pPr>
      <w:sdt>
        <w:sdtPr>
          <w:id w:val="2062813020"/>
          <w:placeholder>
            <w:docPart w:val="DefaultPlaceholder_-1854013440"/>
          </w:placeholder>
        </w:sdtPr>
        <w:sdtContent>
          <w:r>
            <w:rPr/>
            <w:t>Ferraretto et al., 2015</w:t>
          </w:r>
        </w:sdtContent>
      </w:sdt>
      <w:r>
        <w:rPr>
          <w:rFonts w:cs="Arial" w:ascii="Arial" w:hAnsi="Arial"/>
          <w:color w:val="000000"/>
          <w:sz w:val="22"/>
          <w:szCs w:val="22"/>
          <w:lang w:val="pt-BR"/>
        </w:rPr>
        <w:t xml:space="preserve">  </w:t>
      </w:r>
      <w:r>
        <w:rPr>
          <w:rFonts w:cs="Arial" w:ascii="Arial" w:hAnsi="Arial"/>
          <w:color w:val="000000"/>
          <w:sz w:val="22"/>
          <w:szCs w:val="22"/>
          <w:lang w:val="pt-BR"/>
        </w:rPr>
        <w:t xml:space="preserve">analisando dois híbridos para silagem relatam valores de FDN (38,2% e 36% da MS), lignina (2,3% e 2,8% da MS) e FDA (21,6% e 21,7% da MS) menores aos encontrados neste trabalho (47,3%, 4,91% e 28,05% da MS respectivamente). Já os valores de matéria seca (37,7% e 36%) e amido (66,7 e 67,4 %CNF) foram semelhantes ao encontrados nas amostras deste trabalho (37,75% e 66,05%, respectivamente). </w:t>
      </w:r>
      <w:sdt>
        <w:sdtPr>
          <w:id w:val="751313326"/>
          <w:placeholder>
            <w:docPart w:val="DefaultPlaceholder_-1854013440"/>
          </w:placeholder>
        </w:sdtPr>
        <w:sdtContent>
          <w:r>
            <w:rPr/>
            <w:t>Cueva et al., 2023</w:t>
          </w:r>
        </w:sdtContent>
      </w:sdt>
      <w:r>
        <w:rPr>
          <w:rFonts w:cs="Arial" w:ascii="Arial" w:hAnsi="Arial"/>
          <w:color w:val="000000"/>
          <w:sz w:val="22"/>
          <w:szCs w:val="22"/>
          <w:lang w:val="pt-BR"/>
        </w:rPr>
        <w:t xml:space="preserve">  em silagens ensiladas por 120 dias, encontr</w:t>
      </w:r>
      <w:r>
        <w:rPr>
          <w:rFonts w:cs="Arial" w:ascii="Arial" w:hAnsi="Arial"/>
          <w:color w:val="000000"/>
          <w:sz w:val="22"/>
          <w:szCs w:val="22"/>
          <w:lang w:val="pt-BR"/>
        </w:rPr>
        <w:t xml:space="preserve">aram valores de 35,5% para amido, 9,86% maior que o apresentado em nossas análises. </w:t>
      </w:r>
    </w:p>
    <w:p>
      <w:pPr>
        <w:pStyle w:val="LOnormal"/>
        <w:jc w:val="both"/>
        <w:rPr>
          <w:rFonts w:ascii="Arial" w:hAnsi="Arial" w:cs="Arial"/>
          <w:color w:val="000000"/>
          <w:sz w:val="22"/>
          <w:szCs w:val="22"/>
          <w:lang w:val="pt-BR"/>
        </w:rPr>
      </w:pPr>
      <w:r>
        <w:rPr>
          <w:rFonts w:cs="Arial" w:ascii="Arial" w:hAnsi="Arial"/>
          <w:color w:val="000000"/>
          <w:sz w:val="22"/>
          <w:szCs w:val="22"/>
          <w:lang w:val="pt-BR"/>
        </w:rPr>
        <w:t xml:space="preserve">O </w:t>
      </w:r>
      <w:sdt>
        <w:sdtPr>
          <w:id w:val="207801834"/>
          <w:placeholder>
            <w:docPart w:val="DefaultPlaceholder_-1854013440"/>
          </w:placeholder>
        </w:sdtPr>
        <w:sdtContent>
          <w:r>
            <w:rPr/>
            <w:t>NASEM, 2021</w:t>
          </w:r>
        </w:sdtContent>
      </w:sdt>
      <w:r>
        <w:rPr>
          <w:rFonts w:cs="Arial" w:ascii="Arial" w:hAnsi="Arial"/>
          <w:color w:val="000000"/>
          <w:sz w:val="22"/>
          <w:szCs w:val="22"/>
          <w:lang w:val="pt-BR"/>
        </w:rPr>
        <w:t xml:space="preserve"> relata média de 39,6% </w:t>
      </w:r>
      <w:r>
        <w:rPr>
          <w:rFonts w:cs="Arial" w:ascii="Arial" w:hAnsi="Arial"/>
          <w:color w:val="000000"/>
          <w:sz w:val="22"/>
          <w:szCs w:val="22"/>
          <w:lang w:val="pt-BR"/>
        </w:rPr>
        <w:t xml:space="preserve">para MS, 1,85% maior, 39,3% e 23,2% para FDN e FDA, respectivamente, menores que os encontrados no presente trabalho (FDA= 28,05% e FDN= 47,03%). Para o amido a média relatadas no </w:t>
      </w:r>
      <w:sdt>
        <w:sdtPr>
          <w:id w:val="1304695253"/>
          <w:placeholder>
            <w:docPart w:val="2B1B9CDFB83F4C909E791EE56B549376"/>
          </w:placeholder>
        </w:sdtPr>
        <w:sdtContent>
          <w:r>
            <w:rPr/>
            <w:t>NASEM, 2021</w:t>
          </w:r>
        </w:sdtContent>
      </w:sdt>
      <w:r>
        <w:rPr>
          <w:rFonts w:cs="Arial" w:ascii="Arial" w:hAnsi="Arial"/>
          <w:color w:val="000000"/>
          <w:sz w:val="22"/>
          <w:szCs w:val="22"/>
          <w:lang w:val="pt-BR"/>
        </w:rPr>
        <w:t xml:space="preserve"> é de </w:t>
      </w:r>
      <w:r>
        <w:rPr>
          <w:rFonts w:cs="Arial" w:ascii="Arial" w:hAnsi="Arial"/>
          <w:color w:val="000000"/>
          <w:sz w:val="22"/>
          <w:szCs w:val="22"/>
          <w:lang w:val="pt-BR"/>
        </w:rPr>
        <w:t>35,5%, 9,86% maior, já para lignina a média encontrada neste trabalho é 2,97% maior em relação a relatada no mesmo.</w:t>
      </w:r>
    </w:p>
    <w:p>
      <w:pPr>
        <w:pStyle w:val="LOnormal"/>
        <w:jc w:val="both"/>
        <w:rPr>
          <w:rFonts w:ascii="Arial" w:hAnsi="Arial" w:cs="Arial"/>
          <w:color w:val="000000"/>
          <w:sz w:val="22"/>
          <w:szCs w:val="22"/>
          <w:lang w:val="pt-BR"/>
        </w:rPr>
      </w:pPr>
      <w:r>
        <w:rPr>
          <w:rFonts w:cs="Arial" w:ascii="Arial" w:hAnsi="Arial"/>
          <w:color w:val="000000"/>
          <w:sz w:val="22"/>
          <w:szCs w:val="22"/>
          <w:lang w:val="pt-BR"/>
        </w:rPr>
        <w:t xml:space="preserve">Nas tabelas apresentadas por </w:t>
      </w:r>
      <w:sdt>
        <w:sdtPr>
          <w:id w:val="880889323"/>
          <w:placeholder>
            <w:docPart w:val="DefaultPlaceholder_-1854013440"/>
          </w:placeholder>
        </w:sdtPr>
        <w:sdtContent>
          <w:r>
            <w:rPr/>
            <w:t>Valadares Filho et al., 2018</w:t>
          </w:r>
        </w:sdtContent>
      </w:sdt>
      <w:r>
        <w:rPr>
          <w:rFonts w:cs="Arial" w:ascii="Arial" w:hAnsi="Arial"/>
          <w:color w:val="000000"/>
          <w:sz w:val="22"/>
          <w:szCs w:val="22"/>
          <w:lang w:val="pt-BR"/>
        </w:rPr>
        <w:t xml:space="preserve"> pode-se observar níveis de MS (31,22%)</w:t>
      </w:r>
      <w:r>
        <w:rPr>
          <w:rFonts w:cs="Arial" w:ascii="Arial" w:hAnsi="Arial"/>
          <w:color w:val="000000"/>
          <w:sz w:val="22"/>
          <w:szCs w:val="22"/>
          <w:lang w:val="pt-BR"/>
        </w:rPr>
        <w:t xml:space="preserve"> e Kd da FDN (2,64%) menores, de FDN (53,97%) e FDNmo (52,38%) maiores quando comparado aos valores médios encontrados neste trabalho. Para as variáveis de FDA (29,44%), lignina (4,63%) e amido (24,95%) os valores assemelham-se, ainda que, para amido a quantidade amostral deste trabalho apresente-se maior que as 26 apresentadas pelos autores.</w:t>
      </w:r>
    </w:p>
    <w:p>
      <w:pPr>
        <w:pStyle w:val="LOnormal"/>
        <w:jc w:val="both"/>
        <w:rPr>
          <w:rFonts w:ascii="Arial" w:hAnsi="Arial" w:cs="Arial"/>
          <w:color w:val="000000"/>
          <w:sz w:val="22"/>
          <w:szCs w:val="22"/>
          <w:lang w:val="pt-BR"/>
        </w:rPr>
      </w:pPr>
      <w:r>
        <w:rPr>
          <w:rFonts w:eastAsia="Arial" w:cs="Arial" w:ascii="Arial" w:hAnsi="Arial"/>
          <w:bCs/>
          <w:color w:val="000000"/>
          <w:sz w:val="22"/>
          <w:szCs w:val="22"/>
          <w:u w:val="none" w:color="000000"/>
          <w:lang w:val="pt-BR"/>
        </w:rPr>
        <w:t>Ainda que, o emprego de tecnologias para a produção de silagens no Rio Grande do Sul seja menor, do que quando comparado as silagens norte Americanas, as silagens utilizadas têm valores de carboidratos que mostram poucas diferenças. Em relação ao alto teor de lignina e amido baixo é possível que estejam correlacionados ao período de cultivo, confecção e utilização das silagens correspondentes as amostras, pois região enfrentava déficit hídrico o que pode ter afetado a qualidade das mesmas.</w:t>
      </w:r>
      <w:r>
        <w:rPr>
          <w:rFonts w:cs="Arial" w:ascii="Arial" w:hAnsi="Arial"/>
          <w:color w:val="000000"/>
          <w:sz w:val="22"/>
          <w:szCs w:val="22"/>
          <w:lang w:val="pt-BR"/>
        </w:rPr>
        <w:t xml:space="preserve"> </w:t>
      </w:r>
      <w:sdt>
        <w:sdtPr>
          <w:id w:val="555449477"/>
          <w:placeholder>
            <w:docPart w:val="DefaultPlaceholder_-1854013440"/>
          </w:placeholder>
        </w:sdtPr>
        <w:sdtContent>
          <w:r>
            <w:rPr/>
            <w:t>Oliveira et al., 2011</w:t>
          </w:r>
        </w:sdtContent>
      </w:sdt>
      <w:r>
        <w:rPr>
          <w:rFonts w:cs="Arial" w:ascii="Arial" w:hAnsi="Arial"/>
          <w:color w:val="000000"/>
          <w:sz w:val="22"/>
          <w:szCs w:val="22"/>
          <w:lang w:val="pt-BR"/>
        </w:rPr>
        <w:t xml:space="preserve"> relatam a redução no consumo de matéria seca com o aumento dos teores de lignina, assim como uma redução de consumo de nutrientes digestíveis totais com o aumento da FDN da forragem.</w:t>
      </w:r>
    </w:p>
    <w:p>
      <w:pPr>
        <w:pStyle w:val="LOnormal"/>
        <w:jc w:val="both"/>
        <w:rPr>
          <w:rFonts w:ascii="Arial" w:hAnsi="Arial" w:cs="Arial"/>
          <w:color w:val="000000"/>
          <w:sz w:val="22"/>
          <w:szCs w:val="22"/>
          <w:lang w:val="pt-BR"/>
        </w:rPr>
      </w:pPr>
      <w:r>
        <w:rPr>
          <w:rFonts w:cs="Arial" w:ascii="Arial" w:hAnsi="Arial"/>
          <w:color w:val="000000"/>
          <w:sz w:val="22"/>
          <w:szCs w:val="22"/>
          <w:lang w:val="pt-BR"/>
        </w:rPr>
      </w:r>
    </w:p>
    <w:p>
      <w:pPr>
        <w:pStyle w:val="LOnormal"/>
        <w:jc w:val="both"/>
        <w:rPr>
          <w:rFonts w:ascii="Arial" w:hAnsi="Arial" w:cs="Arial"/>
          <w:b/>
          <w:b/>
          <w:bCs/>
          <w:color w:val="000000"/>
          <w:sz w:val="22"/>
          <w:szCs w:val="22"/>
          <w:u w:val="none" w:color="000000"/>
          <w:lang w:val="pt-BR"/>
        </w:rPr>
      </w:pPr>
      <w:r>
        <w:rPr>
          <w:rFonts w:cs="Arial" w:ascii="Arial" w:hAnsi="Arial"/>
          <w:b/>
          <w:bCs/>
          <w:color w:val="000000"/>
          <w:sz w:val="22"/>
          <w:szCs w:val="22"/>
          <w:u w:val="none" w:color="000000"/>
          <w:lang w:val="pt-BR"/>
        </w:rPr>
        <w:t>Conclusão</w:t>
      </w:r>
    </w:p>
    <w:p>
      <w:pPr>
        <w:pStyle w:val="LOnormal"/>
        <w:jc w:val="both"/>
        <w:rPr>
          <w:rFonts w:ascii="Arial" w:hAnsi="Arial" w:cs="Arial"/>
          <w:color w:val="000000"/>
          <w:sz w:val="22"/>
          <w:szCs w:val="22"/>
          <w:u w:val="none" w:color="000000"/>
          <w:lang w:val="pt-BR"/>
        </w:rPr>
      </w:pPr>
      <w:r>
        <w:rPr>
          <w:rFonts w:eastAsia="Arial" w:cs="Arial" w:ascii="Arial" w:hAnsi="Arial"/>
          <w:bCs/>
          <w:color w:val="000000"/>
          <w:sz w:val="22"/>
          <w:szCs w:val="22"/>
          <w:u w:val="none" w:color="000000"/>
          <w:lang w:val="pt-BR"/>
        </w:rPr>
        <w:t>As silagens utilizadas no noroeste do Rio Grande do Sul possuem altos teores de lignina e baixo teor de amido, apresentando teor médio de FDN de 47,03% e uma taxa de degradação da FDN mais rápida.</w:t>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r>
    </w:p>
    <w:p>
      <w:pPr>
        <w:pStyle w:val="LOnormal"/>
        <w:jc w:val="both"/>
        <w:rPr>
          <w:rFonts w:ascii="Arial" w:hAnsi="Arial" w:eastAsia="Arial" w:cs="Arial"/>
          <w:b/>
          <w:b/>
          <w:bCs/>
          <w:color w:val="000000"/>
          <w:sz w:val="22"/>
          <w:szCs w:val="22"/>
          <w:u w:val="none" w:color="000000"/>
          <w:lang w:val="pt-BR"/>
        </w:rPr>
      </w:pPr>
      <w:r>
        <w:rPr>
          <w:rFonts w:cs="Arial" w:ascii="Arial" w:hAnsi="Arial"/>
          <w:b/>
          <w:bCs/>
          <w:color w:val="000000"/>
          <w:sz w:val="22"/>
          <w:szCs w:val="22"/>
          <w:u w:val="none" w:color="000000"/>
          <w:lang w:val="pt-BR"/>
        </w:rPr>
        <w:t xml:space="preserve">Agradecimento: </w:t>
      </w:r>
      <w:r>
        <w:rPr>
          <w:rFonts w:cs="Arial" w:ascii="Arial" w:hAnsi="Arial"/>
          <w:bCs/>
          <w:color w:val="000000"/>
          <w:sz w:val="22"/>
          <w:szCs w:val="22"/>
          <w:u w:val="none" w:color="000000"/>
          <w:lang w:val="pt-BR"/>
        </w:rPr>
        <w:t>Agrotech Serviços Agrícolas.</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cs="Arial"/>
          <w:b/>
          <w:b/>
          <w:bCs/>
          <w:color w:val="000000"/>
          <w:sz w:val="22"/>
          <w:szCs w:val="22"/>
          <w:u w:val="none" w:color="000000"/>
          <w:lang w:val="pt-BR"/>
        </w:rPr>
      </w:pPr>
      <w:r>
        <w:rPr>
          <w:rFonts w:cs="Arial" w:ascii="Arial" w:hAnsi="Arial"/>
          <w:b/>
          <w:bCs/>
          <w:color w:val="000000"/>
          <w:sz w:val="22"/>
          <w:szCs w:val="22"/>
          <w:u w:val="none" w:color="000000"/>
          <w:lang w:val="pt-BR"/>
        </w:rPr>
        <w:t xml:space="preserve">Referências: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ind w:hanging="480"/>
        <w:rPr>
          <w:rFonts w:ascii="Arial" w:hAnsi="Arial" w:eastAsia="Times New Roman" w:cs="Arial"/>
        </w:rPr>
      </w:pPr>
      <w:r>
        <w:fldChar w:fldCharType="begin"/>
      </w:r>
      <w:r>
        <w:rPr/>
      </w:r>
      <w:r>
        <w:rPr/>
      </w:r>
      <w:r>
        <w:rPr/>
        <w:fldChar w:fldCharType="separate"/>
      </w:r>
      <w:r>
        <w:rPr/>
      </w:r>
      <w:r>
        <w:rPr/>
      </w:r>
      <w:r>
        <w:rPr/>
        <w:fldChar w:fldCharType="end"/>
      </w:r>
      <w:sdt>
        <w:sdtPr>
          <w:id w:val="1406909029"/>
          <w:placeholder>
            <w:docPart w:val="DefaultPlaceholder_-1854013440"/>
          </w:placeholder>
        </w:sdtPr>
        <w:sdtContent>
          <w:r>
            <w:rPr/>
            <w:t>Cueva, S. F., Harper, M., Roth, G. W., Wells, H., Canale, C., Gallo, A., Masoero, F., &amp; Hristov, A. N. (2023). Effects of ensiling time on corn silage starch ruminal degradability evaluated in situ or in vitro. Journal of Dairy Science, 106(6), 3961–3974. HYPERLINK "https://doi.org/10.3168/jds.2022-22817"https://doi.org/10.3168/jds.2022-22817</w:t>
          </w:r>
        </w:sdtContent>
      </w:sdt>
    </w:p>
    <w:p>
      <w:pPr>
        <w:pStyle w:val="Normal"/>
        <w:ind w:hanging="480"/>
        <w:rPr>
          <w:rFonts w:ascii="Arial" w:hAnsi="Arial" w:eastAsia="Times New Roman" w:cs="Arial"/>
        </w:rPr>
      </w:pPr>
      <w:r>
        <w:rPr>
          <w:rFonts w:eastAsia="Times New Roman" w:cs="Arial" w:ascii="Arial" w:hAnsi="Arial"/>
        </w:rPr>
      </w:r>
    </w:p>
    <w:p>
      <w:pPr>
        <w:pStyle w:val="Normal"/>
        <w:ind w:hanging="480"/>
        <w:rPr>
          <w:rFonts w:ascii="Arial" w:hAnsi="Arial" w:eastAsia="Times New Roman" w:cs="Arial"/>
        </w:rPr>
      </w:pPr>
      <w:r>
        <w:rPr>
          <w:rFonts w:eastAsia="Times New Roman" w:cs="Arial" w:ascii="Arial" w:hAnsi="Arial"/>
        </w:rPr>
        <w:t xml:space="preserve">Ferraretto, L. F., Fonseca, A. C., Sniffen, C. J., Formigoni, A., &amp; Shaver, R. D. (2015). Effect of corn silage hybrids differing in starch and neutral detergent fiber digestibility on lactation performance and total-tract nutrient digestibility by dairy cows. </w:t>
      </w:r>
      <w:r>
        <w:rPr>
          <w:rFonts w:eastAsia="Times New Roman" w:cs="Arial" w:ascii="Arial" w:hAnsi="Arial"/>
          <w:i/>
          <w:iCs/>
        </w:rPr>
        <w:t>Journal of Dairy Science</w:t>
      </w:r>
      <w:r>
        <w:rPr>
          <w:rFonts w:eastAsia="Times New Roman" w:cs="Arial" w:ascii="Arial" w:hAnsi="Arial"/>
        </w:rPr>
        <w:t xml:space="preserve">, </w:t>
      </w:r>
      <w:r>
        <w:rPr>
          <w:rFonts w:eastAsia="Times New Roman" w:cs="Arial" w:ascii="Arial" w:hAnsi="Arial"/>
          <w:i/>
          <w:iCs/>
        </w:rPr>
        <w:t>98</w:t>
      </w:r>
      <w:r>
        <w:rPr>
          <w:rFonts w:eastAsia="Times New Roman" w:cs="Arial" w:ascii="Arial" w:hAnsi="Arial"/>
        </w:rPr>
        <w:t>(1), 395–405.</w:t>
      </w:r>
      <w:hyperlink r:id="rId3">
        <w:r>
          <w:rPr>
            <w:rStyle w:val="LinkdaInternet"/>
            <w:rFonts w:eastAsia="Times New Roman" w:cs="Arial" w:ascii="Arial" w:hAnsi="Arial"/>
          </w:rPr>
          <w:t>https://doi.org/10.3168/jds.2014-8232</w:t>
        </w:r>
      </w:hyperlink>
    </w:p>
    <w:p>
      <w:pPr>
        <w:pStyle w:val="Normal"/>
        <w:ind w:hanging="480"/>
        <w:rPr>
          <w:rFonts w:ascii="Arial" w:hAnsi="Arial" w:eastAsia="Times New Roman" w:cs="Arial"/>
        </w:rPr>
      </w:pPr>
      <w:r>
        <w:rPr>
          <w:rFonts w:eastAsia="Times New Roman" w:cs="Arial" w:ascii="Arial" w:hAnsi="Arial"/>
        </w:rPr>
      </w:r>
    </w:p>
    <w:p>
      <w:pPr>
        <w:pStyle w:val="Normal"/>
        <w:ind w:hanging="480"/>
        <w:rPr>
          <w:rFonts w:ascii="Arial" w:hAnsi="Arial" w:eastAsia="Times New Roman" w:cs="Arial"/>
          <w:lang w:val="pt-BR"/>
        </w:rPr>
      </w:pPr>
      <w:r>
        <w:rPr>
          <w:rFonts w:eastAsia="Times New Roman" w:cs="Arial" w:ascii="Arial" w:hAnsi="Arial"/>
        </w:rPr>
        <w:t xml:space="preserve">Mello, R., &amp; Nörnberg, J. L. (2004). </w:t>
      </w:r>
      <w:r>
        <w:rPr>
          <w:rFonts w:eastAsia="Times New Roman" w:cs="Arial" w:ascii="Arial" w:hAnsi="Arial"/>
          <w:lang w:val="pt-BR"/>
        </w:rPr>
        <w:t xml:space="preserve">Fracionamento dos carboidratos e proteínas de silagens de milho, sorgo e girassol. </w:t>
      </w:r>
      <w:r>
        <w:rPr>
          <w:rFonts w:eastAsia="Times New Roman" w:cs="Arial" w:ascii="Arial" w:hAnsi="Arial"/>
          <w:i/>
          <w:iCs/>
          <w:lang w:val="pt-BR"/>
        </w:rPr>
        <w:t>Ciência Rural</w:t>
      </w:r>
      <w:r>
        <w:rPr>
          <w:rFonts w:eastAsia="Times New Roman" w:cs="Arial" w:ascii="Arial" w:hAnsi="Arial"/>
          <w:lang w:val="pt-BR"/>
        </w:rPr>
        <w:t xml:space="preserve">, </w:t>
      </w:r>
      <w:r>
        <w:rPr>
          <w:rFonts w:eastAsia="Times New Roman" w:cs="Arial" w:ascii="Arial" w:hAnsi="Arial"/>
          <w:i/>
          <w:iCs/>
          <w:lang w:val="pt-BR"/>
        </w:rPr>
        <w:t>34</w:t>
      </w:r>
      <w:r>
        <w:rPr>
          <w:rFonts w:eastAsia="Times New Roman" w:cs="Arial" w:ascii="Arial" w:hAnsi="Arial"/>
          <w:lang w:val="pt-BR"/>
        </w:rPr>
        <w:t xml:space="preserve">(5), 1537–1542. </w:t>
      </w:r>
      <w:hyperlink r:id="rId4">
        <w:r>
          <w:rPr>
            <w:rStyle w:val="LinkdaInternet"/>
            <w:rFonts w:eastAsia="Times New Roman" w:cs="Arial" w:ascii="Arial" w:hAnsi="Arial"/>
            <w:lang w:val="pt-BR"/>
          </w:rPr>
          <w:t>https://doi.org/10.1590/S0103-84782004000500033</w:t>
        </w:r>
      </w:hyperlink>
    </w:p>
    <w:p>
      <w:pPr>
        <w:pStyle w:val="Normal"/>
        <w:ind w:hanging="480"/>
        <w:rPr>
          <w:rFonts w:ascii="Arial" w:hAnsi="Arial" w:eastAsia="Times New Roman" w:cs="Arial"/>
          <w:lang w:val="pt-BR"/>
        </w:rPr>
      </w:pPr>
      <w:r>
        <w:rPr>
          <w:rFonts w:eastAsia="Times New Roman" w:cs="Arial" w:ascii="Arial" w:hAnsi="Arial"/>
          <w:lang w:val="pt-BR"/>
        </w:rPr>
      </w:r>
    </w:p>
    <w:p>
      <w:pPr>
        <w:pStyle w:val="Normal"/>
        <w:ind w:hanging="480"/>
        <w:rPr>
          <w:rFonts w:ascii="Arial" w:hAnsi="Arial" w:eastAsia="Times New Roman" w:cs="Arial"/>
          <w:lang w:val="pt-BR"/>
        </w:rPr>
      </w:pPr>
      <w:r>
        <w:rPr>
          <w:rFonts w:eastAsia="Times New Roman" w:cs="Arial" w:ascii="Arial" w:hAnsi="Arial"/>
          <w:lang w:val="pt-BR"/>
        </w:rPr>
        <w:t xml:space="preserve">NASEM, N. A. O. S. E. A. M. (2021). </w:t>
      </w:r>
      <w:r>
        <w:rPr>
          <w:rFonts w:eastAsia="Times New Roman" w:cs="Arial" w:ascii="Arial" w:hAnsi="Arial"/>
          <w:i/>
          <w:iCs/>
        </w:rPr>
        <w:t>Nutrient Requirements of Dairy Cattle</w:t>
      </w:r>
      <w:r>
        <w:rPr>
          <w:rFonts w:eastAsia="Times New Roman" w:cs="Arial" w:ascii="Arial" w:hAnsi="Arial"/>
        </w:rPr>
        <w:t xml:space="preserve"> (9th ed.). </w:t>
      </w:r>
      <w:r>
        <w:rPr>
          <w:rFonts w:eastAsia="Times New Roman" w:cs="Arial" w:ascii="Arial" w:hAnsi="Arial"/>
          <w:lang w:val="pt-BR"/>
        </w:rPr>
        <w:t xml:space="preserve">National Academies Press. </w:t>
      </w:r>
      <w:hyperlink r:id="rId5">
        <w:r>
          <w:rPr>
            <w:rStyle w:val="LinkdaInternet"/>
            <w:rFonts w:eastAsia="Times New Roman" w:cs="Arial" w:ascii="Arial" w:hAnsi="Arial"/>
            <w:lang w:val="pt-BR"/>
          </w:rPr>
          <w:t>https://doi.org/10.17226/25806</w:t>
        </w:r>
      </w:hyperlink>
    </w:p>
    <w:p>
      <w:pPr>
        <w:pStyle w:val="Normal"/>
        <w:ind w:hanging="480"/>
        <w:rPr>
          <w:rFonts w:ascii="Arial" w:hAnsi="Arial" w:eastAsia="Times New Roman" w:cs="Arial"/>
          <w:lang w:val="pt-BR"/>
        </w:rPr>
      </w:pPr>
      <w:r>
        <w:rPr>
          <w:rFonts w:eastAsia="Times New Roman" w:cs="Arial" w:ascii="Arial" w:hAnsi="Arial"/>
          <w:lang w:val="pt-BR"/>
        </w:rPr>
      </w:r>
    </w:p>
    <w:p>
      <w:pPr>
        <w:pStyle w:val="Normal"/>
        <w:ind w:hanging="480"/>
        <w:rPr>
          <w:rFonts w:ascii="Arial" w:hAnsi="Arial" w:eastAsia="Times New Roman" w:cs="Arial"/>
          <w:lang w:val="pt-BR"/>
        </w:rPr>
      </w:pPr>
      <w:r>
        <w:rPr>
          <w:rFonts w:eastAsia="Times New Roman" w:cs="Arial" w:ascii="Arial" w:hAnsi="Arial"/>
          <w:lang w:val="pt-BR"/>
        </w:rPr>
        <w:t xml:space="preserve">Oliveira, A. S. de, Detmann, E., Campos, J. M. de S., Pina, D. dos S., Souza, S. M. de, &amp; Costa, M. G. (2011). Meta-análise do impacto da fibra em detergente neutro sobre o consumo, a digestibilidade e o desempenho de vacas leiteiras em lactação. </w:t>
      </w:r>
      <w:r>
        <w:rPr>
          <w:rFonts w:eastAsia="Times New Roman" w:cs="Arial" w:ascii="Arial" w:hAnsi="Arial"/>
          <w:i/>
          <w:iCs/>
          <w:lang w:val="pt-BR"/>
        </w:rPr>
        <w:t>Revista Brasileira de Zootecnia</w:t>
      </w:r>
      <w:r>
        <w:rPr>
          <w:rFonts w:eastAsia="Times New Roman" w:cs="Arial" w:ascii="Arial" w:hAnsi="Arial"/>
          <w:lang w:val="pt-BR"/>
        </w:rPr>
        <w:t xml:space="preserve">, </w:t>
      </w:r>
      <w:r>
        <w:rPr>
          <w:rFonts w:eastAsia="Times New Roman" w:cs="Arial" w:ascii="Arial" w:hAnsi="Arial"/>
          <w:i/>
          <w:iCs/>
          <w:lang w:val="pt-BR"/>
        </w:rPr>
        <w:t>40</w:t>
      </w:r>
      <w:r>
        <w:rPr>
          <w:rFonts w:eastAsia="Times New Roman" w:cs="Arial" w:ascii="Arial" w:hAnsi="Arial"/>
          <w:lang w:val="pt-BR"/>
        </w:rPr>
        <w:t xml:space="preserve">(7), 1587–1595. </w:t>
      </w:r>
      <w:hyperlink r:id="rId6">
        <w:r>
          <w:rPr>
            <w:rStyle w:val="LinkdaInternet"/>
            <w:rFonts w:eastAsia="Times New Roman" w:cs="Arial" w:ascii="Arial" w:hAnsi="Arial"/>
            <w:lang w:val="pt-BR"/>
          </w:rPr>
          <w:t>https://doi.org/10.1590/S1516-35982011000700026</w:t>
        </w:r>
      </w:hyperlink>
    </w:p>
    <w:p>
      <w:pPr>
        <w:pStyle w:val="Normal"/>
        <w:ind w:hanging="480"/>
        <w:rPr>
          <w:rFonts w:ascii="Arial" w:hAnsi="Arial" w:eastAsia="Times New Roman" w:cs="Arial"/>
          <w:lang w:val="pt-BR"/>
        </w:rPr>
      </w:pPr>
      <w:r>
        <w:rPr>
          <w:rFonts w:eastAsia="Times New Roman" w:cs="Arial" w:ascii="Arial" w:hAnsi="Arial"/>
          <w:lang w:val="pt-BR"/>
        </w:rPr>
      </w:r>
    </w:p>
    <w:p>
      <w:pPr>
        <w:pStyle w:val="Normal"/>
        <w:ind w:hanging="480"/>
        <w:rPr>
          <w:rFonts w:ascii="Arial" w:hAnsi="Arial" w:eastAsia="Times New Roman" w:cs="Arial"/>
        </w:rPr>
      </w:pPr>
      <w:r>
        <w:rPr>
          <w:rFonts w:eastAsia="Times New Roman" w:cs="Arial" w:ascii="Arial" w:hAnsi="Arial"/>
          <w:lang w:val="pt-BR"/>
        </w:rPr>
        <w:t xml:space="preserve">Sniffen, C. J., O’Connor, J. D., Van Soest, P. J., Fox, D. G., &amp; Russell, J. B. (1992). </w:t>
      </w:r>
      <w:r>
        <w:rPr>
          <w:rFonts w:eastAsia="Times New Roman" w:cs="Arial" w:ascii="Arial" w:hAnsi="Arial"/>
        </w:rPr>
        <w:t xml:space="preserve">A net carbohydrate and protein system for evaluating cattle diets: II. Carbohydrate and protein availability. </w:t>
      </w:r>
      <w:r>
        <w:rPr>
          <w:rFonts w:eastAsia="Times New Roman" w:cs="Arial" w:ascii="Arial" w:hAnsi="Arial"/>
          <w:i/>
          <w:iCs/>
        </w:rPr>
        <w:t>Journal of Animal Science</w:t>
      </w:r>
      <w:r>
        <w:rPr>
          <w:rFonts w:eastAsia="Times New Roman" w:cs="Arial" w:ascii="Arial" w:hAnsi="Arial"/>
        </w:rPr>
        <w:t xml:space="preserve">, </w:t>
      </w:r>
      <w:r>
        <w:rPr>
          <w:rFonts w:eastAsia="Times New Roman" w:cs="Arial" w:ascii="Arial" w:hAnsi="Arial"/>
          <w:i/>
          <w:iCs/>
        </w:rPr>
        <w:t>70</w:t>
      </w:r>
      <w:r>
        <w:rPr>
          <w:rFonts w:eastAsia="Times New Roman" w:cs="Arial" w:ascii="Arial" w:hAnsi="Arial"/>
        </w:rPr>
        <w:t xml:space="preserve">(11), 3562–3577. </w:t>
      </w:r>
      <w:hyperlink r:id="rId7">
        <w:r>
          <w:rPr>
            <w:rStyle w:val="LinkdaInternet"/>
            <w:rFonts w:eastAsia="Times New Roman" w:cs="Arial" w:ascii="Arial" w:hAnsi="Arial"/>
          </w:rPr>
          <w:t>https://doi.org/10.2527/1992.70113562x</w:t>
        </w:r>
      </w:hyperlink>
    </w:p>
    <w:p>
      <w:pPr>
        <w:pStyle w:val="Normal"/>
        <w:ind w:hanging="480"/>
        <w:rPr>
          <w:rFonts w:ascii="Arial" w:hAnsi="Arial" w:eastAsia="Times New Roman" w:cs="Arial"/>
        </w:rPr>
      </w:pPr>
      <w:r>
        <w:rPr>
          <w:rFonts w:eastAsia="Times New Roman" w:cs="Arial" w:ascii="Arial" w:hAnsi="Arial"/>
        </w:rPr>
      </w:r>
    </w:p>
    <w:p>
      <w:pPr>
        <w:pStyle w:val="Normal"/>
        <w:ind w:hanging="480"/>
        <w:rPr>
          <w:rFonts w:ascii="Arial" w:hAnsi="Arial" w:eastAsia="Times New Roman" w:cs="Arial"/>
          <w:lang w:val="pt-BR"/>
        </w:rPr>
      </w:pPr>
      <w:r>
        <w:rPr>
          <w:rFonts w:eastAsia="Times New Roman" w:cs="Arial" w:ascii="Arial" w:hAnsi="Arial"/>
          <w:lang w:val="pt-BR"/>
        </w:rPr>
        <w:t xml:space="preserve">Valadares Filho, S. de C., Lopes, S. A., Silva, B. de C., Chizzotti, M. L., &amp; Bissaro, L. Z. (2018). </w:t>
      </w:r>
      <w:r>
        <w:rPr>
          <w:rFonts w:eastAsia="Times New Roman" w:cs="Arial" w:ascii="Arial" w:hAnsi="Arial"/>
          <w:i/>
          <w:iCs/>
          <w:lang w:val="pt-BR"/>
        </w:rPr>
        <w:t xml:space="preserve">CQBAL 4.0. </w:t>
      </w:r>
      <w:r>
        <w:rPr>
          <w:rFonts w:eastAsia="Times New Roman" w:cs="Arial" w:ascii="Arial" w:hAnsi="Arial"/>
          <w:lang w:val="pt-BR"/>
        </w:rPr>
        <w:t xml:space="preserve">. Tabelas Brasileiras de Composição de Alimentos Para Ruminantes. </w:t>
      </w:r>
      <w:hyperlink r:id="rId8">
        <w:r>
          <w:rPr>
            <w:rStyle w:val="LinkdaInternet"/>
            <w:rFonts w:eastAsia="Times New Roman" w:cs="Arial" w:ascii="Arial" w:hAnsi="Arial"/>
            <w:lang w:val="pt-BR"/>
          </w:rPr>
          <w:t>www.cqbal.com.br</w:t>
        </w:r>
      </w:hyperlink>
    </w:p>
    <w:p>
      <w:pPr>
        <w:pStyle w:val="Normal"/>
        <w:ind w:hanging="480"/>
        <w:rPr>
          <w:rFonts w:ascii="Arial" w:hAnsi="Arial" w:eastAsia="Times New Roman" w:cs="Arial"/>
          <w:lang w:val="pt-BR"/>
        </w:rPr>
      </w:pPr>
      <w:r>
        <w:rPr>
          <w:rFonts w:eastAsia="Times New Roman" w:cs="Arial" w:ascii="Arial" w:hAnsi="Arial"/>
          <w:lang w:val="pt-BR"/>
        </w:rPr>
      </w:r>
    </w:p>
    <w:p>
      <w:pPr>
        <w:pStyle w:val="Normal"/>
        <w:ind w:hanging="480"/>
        <w:rPr>
          <w:rFonts w:ascii="Arial" w:hAnsi="Arial" w:eastAsia="Times New Roman" w:cs="Arial"/>
          <w:lang w:val="pt-BR"/>
        </w:rPr>
      </w:pPr>
      <w:r>
        <w:rPr>
          <w:rFonts w:eastAsia="Times New Roman" w:cs="Arial" w:ascii="Arial" w:hAnsi="Arial"/>
          <w:lang w:val="pt-BR"/>
        </w:rPr>
        <w:t xml:space="preserve">Viana, A. C., Silva, &amp; Lima, C. B. (2002). </w:t>
      </w:r>
      <w:r>
        <w:rPr>
          <w:rFonts w:eastAsia="Times New Roman" w:cs="Arial" w:ascii="Arial" w:hAnsi="Arial"/>
          <w:i/>
          <w:iCs/>
          <w:lang w:val="pt-BR"/>
        </w:rPr>
        <w:t>Avaliação da Degradabilidade "in situ; da Fibra Detergente Neutro e Fracionamento do Carboidratos de Silagens de Milho (Zea maiz), Sorgo (Sorghum bicolor) e Girassol (Herlianthus annuus)</w:t>
      </w:r>
      <w:r>
        <w:rPr>
          <w:rFonts w:eastAsia="Times New Roman" w:cs="Arial" w:ascii="Arial" w:hAnsi="Arial"/>
          <w:lang w:val="pt-BR"/>
        </w:rPr>
        <w:t>.</w:t>
      </w:r>
    </w:p>
    <w:p>
      <w:pPr>
        <w:pStyle w:val="Normal"/>
        <w:ind w:hanging="480"/>
        <w:rPr>
          <w:rFonts w:ascii="Arial" w:hAnsi="Arial" w:eastAsia="Times New Roman" w:cs="Arial"/>
          <w:lang w:val="pt-BR"/>
        </w:rPr>
      </w:pPr>
      <w:r>
        <w:rPr>
          <w:rFonts w:eastAsia="Times New Roman" w:cs="Arial" w:ascii="Arial" w:hAnsi="Arial"/>
          <w:lang w:val="pt-BR"/>
        </w:rPr>
      </w:r>
    </w:p>
    <w:p>
      <w:pPr>
        <w:pStyle w:val="Normal"/>
        <w:ind w:hanging="480"/>
        <w:rPr>
          <w:rFonts w:ascii="Arial" w:hAnsi="Arial" w:eastAsia="Times New Roman" w:cs="Arial"/>
          <w:lang w:val="pt-BR"/>
        </w:rPr>
      </w:pPr>
      <w:r>
        <w:rPr>
          <w:rFonts w:eastAsia="Times New Roman" w:cs="Arial" w:ascii="Arial" w:hAnsi="Arial"/>
          <w:lang w:val="pt-BR"/>
        </w:rPr>
        <w:t xml:space="preserve">Zeoula, L. M., Martins, A. de S., Prado, I. N. do, Alcalde, C. R., Branco, A. F., &amp; Santos, G. T. dos. (1999). Solubilidade e degradabilidade ruminal do amido de diferentes alimentos. </w:t>
      </w:r>
      <w:r>
        <w:rPr>
          <w:rFonts w:eastAsia="Times New Roman" w:cs="Arial" w:ascii="Arial" w:hAnsi="Arial"/>
          <w:i/>
          <w:iCs/>
          <w:lang w:val="pt-BR"/>
        </w:rPr>
        <w:t>Revista Brasileira de Zootecnia</w:t>
      </w:r>
      <w:r>
        <w:rPr>
          <w:rFonts w:eastAsia="Times New Roman" w:cs="Arial" w:ascii="Arial" w:hAnsi="Arial"/>
          <w:lang w:val="pt-BR"/>
        </w:rPr>
        <w:t xml:space="preserve">, </w:t>
      </w:r>
      <w:r>
        <w:rPr>
          <w:rFonts w:eastAsia="Times New Roman" w:cs="Arial" w:ascii="Arial" w:hAnsi="Arial"/>
          <w:i/>
          <w:iCs/>
          <w:lang w:val="pt-BR"/>
        </w:rPr>
        <w:t>28</w:t>
      </w:r>
      <w:r>
        <w:rPr>
          <w:rFonts w:eastAsia="Times New Roman" w:cs="Arial" w:ascii="Arial" w:hAnsi="Arial"/>
          <w:lang w:val="pt-BR"/>
        </w:rPr>
        <w:t xml:space="preserve">(4), 898–905. </w:t>
      </w:r>
      <w:hyperlink r:id="rId9">
        <w:r>
          <w:rPr>
            <w:rStyle w:val="LinkdaInternet"/>
            <w:rFonts w:eastAsia="Times New Roman" w:cs="Arial" w:ascii="Arial" w:hAnsi="Arial"/>
            <w:lang w:val="pt-BR"/>
          </w:rPr>
          <w:t>https://doi.org/10.1590/S1516-35981999000400033</w:t>
        </w:r>
      </w:hyperlink>
    </w:p>
    <w:p>
      <w:pPr>
        <w:pStyle w:val="Normal"/>
        <w:ind w:hanging="480"/>
        <w:rPr>
          <w:rFonts w:ascii="Arial" w:hAnsi="Arial" w:eastAsia="Times New Roman" w:cs="Arial"/>
          <w:lang w:val="pt-BR"/>
        </w:rPr>
      </w:pPr>
      <w:r>
        <w:rPr>
          <w:rFonts w:eastAsia="Times New Roman" w:cs="Arial" w:ascii="Arial" w:hAnsi="Arial"/>
          <w:lang w:val="pt-BR"/>
        </w:rPr>
      </w:r>
    </w:p>
    <w:p>
      <w:pPr>
        <w:pStyle w:val="LOnormal"/>
        <w:ind w:right="284" w:hanging="0"/>
        <w:jc w:val="both"/>
        <w:rPr>
          <w:rFonts w:ascii="Arial" w:hAnsi="Arial" w:cs="Arial"/>
          <w:b/>
          <w:b/>
          <w:sz w:val="22"/>
          <w:szCs w:val="22"/>
        </w:rPr>
      </w:pPr>
      <w:r>
        <w:rPr>
          <w:rFonts w:eastAsia="Times New Roman" w:cs="Arial" w:ascii="Arial" w:hAnsi="Arial"/>
          <w:lang w:val="pt-BR"/>
        </w:rPr>
        <w:t> </w:t>
      </w:r>
    </w:p>
    <w:sectPr>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ans">
    <w:altName w:val="Arial"/>
    <w:charset w:val="00"/>
    <w:family w:val="swiss"/>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pBdr/>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LinkdaInternet">
    <w:name w:val="Link da Internet"/>
    <w:rPr>
      <w:u w:val="single"/>
    </w:rPr>
  </w:style>
  <w:style w:type="character" w:styleId="Normaltextrun" w:customStyle="1">
    <w:name w:val="normaltextrun"/>
    <w:basedOn w:val="DefaultParagraphFont"/>
    <w:qFormat/>
    <w:rsid w:val="00a83852"/>
    <w:rPr/>
  </w:style>
  <w:style w:type="character" w:styleId="PlaceholderText">
    <w:name w:val="Placeholder Text"/>
    <w:basedOn w:val="DefaultParagraphFont"/>
    <w:uiPriority w:val="99"/>
    <w:semiHidden/>
    <w:qFormat/>
    <w:rsid w:val="00c0080c"/>
    <w:rPr>
      <w:color w:val="808080"/>
    </w:rPr>
  </w:style>
  <w:style w:type="character" w:styleId="Annotationreference">
    <w:name w:val="annotation reference"/>
    <w:basedOn w:val="DefaultParagraphFont"/>
    <w:uiPriority w:val="99"/>
    <w:semiHidden/>
    <w:unhideWhenUsed/>
    <w:qFormat/>
    <w:rsid w:val="00e614fa"/>
    <w:rPr>
      <w:sz w:val="16"/>
      <w:szCs w:val="16"/>
    </w:rPr>
  </w:style>
  <w:style w:type="character" w:styleId="TextodecomentrioChar" w:customStyle="1">
    <w:name w:val="Texto de comentário Char"/>
    <w:basedOn w:val="DefaultParagraphFont"/>
    <w:link w:val="Annotationtext"/>
    <w:uiPriority w:val="99"/>
    <w:semiHidden/>
    <w:qFormat/>
    <w:rsid w:val="00e614fa"/>
    <w:rPr>
      <w:lang w:eastAsia="en-US"/>
    </w:rPr>
  </w:style>
  <w:style w:type="character" w:styleId="TextodebaloChar" w:customStyle="1">
    <w:name w:val="Texto de balão Char"/>
    <w:basedOn w:val="DefaultParagraphFont"/>
    <w:link w:val="BalloonText"/>
    <w:uiPriority w:val="99"/>
    <w:semiHidden/>
    <w:qFormat/>
    <w:rsid w:val="00e614fa"/>
    <w:rPr>
      <w:rFonts w:ascii="Segoe UI" w:hAnsi="Segoe UI" w:cs="Segoe UI"/>
      <w:sz w:val="18"/>
      <w:szCs w:val="18"/>
      <w:lang w:val="en-US" w:eastAsia="en-US"/>
    </w:rPr>
  </w:style>
  <w:style w:type="character" w:styleId="CabealhoChar" w:customStyle="1">
    <w:name w:val="Cabeçalho Char"/>
    <w:basedOn w:val="DefaultParagraphFont"/>
    <w:uiPriority w:val="99"/>
    <w:qFormat/>
    <w:rsid w:val="00154cee"/>
    <w:rPr>
      <w:sz w:val="24"/>
      <w:szCs w:val="24"/>
      <w:lang w:val="en-US" w:eastAsia="en-US"/>
    </w:rPr>
  </w:style>
  <w:style w:type="character" w:styleId="RodapChar" w:customStyle="1">
    <w:name w:val="Rodapé Char"/>
    <w:basedOn w:val="DefaultParagraphFont"/>
    <w:uiPriority w:val="99"/>
    <w:qFormat/>
    <w:rsid w:val="00154cee"/>
    <w:rPr>
      <w:sz w:val="24"/>
      <w:szCs w:val="24"/>
      <w:lang w:val="en-US" w:eastAsia="en-US"/>
    </w:rPr>
  </w:style>
  <w:style w:type="character" w:styleId="UnresolvedMention">
    <w:name w:val="Unresolved Mention"/>
    <w:basedOn w:val="DefaultParagraphFont"/>
    <w:uiPriority w:val="99"/>
    <w:semiHidden/>
    <w:unhideWhenUsed/>
    <w:qFormat/>
    <w:rsid w:val="001e0518"/>
    <w:rPr>
      <w:color w:val="605E5C"/>
      <w:shd w:fill="E1DFDD" w:val="clear"/>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customStyle="1">
    <w:name w:val="LO-normal"/>
    <w:qFormat/>
    <w:pPr>
      <w:widowControl/>
      <w:pBdr/>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pBdr/>
      <w:tabs>
        <w:tab w:val="clear" w:pos="720"/>
        <w:tab w:val="right" w:pos="9020" w:leader="none"/>
      </w:tabs>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Annotationtext">
    <w:name w:val="annotation text"/>
    <w:basedOn w:val="Normal"/>
    <w:link w:val="TextodecomentrioChar"/>
    <w:uiPriority w:val="99"/>
    <w:semiHidden/>
    <w:unhideWhenUsed/>
    <w:qFormat/>
    <w:rsid w:val="00e614fa"/>
    <w:pPr/>
    <w:rPr>
      <w:sz w:val="20"/>
      <w:szCs w:val="20"/>
      <w:lang w:val="pt-BR"/>
    </w:rPr>
  </w:style>
  <w:style w:type="paragraph" w:styleId="BalloonText">
    <w:name w:val="Balloon Text"/>
    <w:basedOn w:val="Normal"/>
    <w:link w:val="TextodebaloChar"/>
    <w:uiPriority w:val="99"/>
    <w:semiHidden/>
    <w:unhideWhenUsed/>
    <w:qFormat/>
    <w:rsid w:val="00e614fa"/>
    <w:pPr/>
    <w:rPr>
      <w:rFonts w:ascii="Segoe UI" w:hAnsi="Segoe UI" w:cs="Segoe UI"/>
      <w:sz w:val="18"/>
      <w:szCs w:val="18"/>
    </w:rPr>
  </w:style>
  <w:style w:type="paragraph" w:styleId="Cabealho">
    <w:name w:val="Header"/>
    <w:basedOn w:val="Normal"/>
    <w:link w:val="CabealhoChar"/>
    <w:uiPriority w:val="99"/>
    <w:unhideWhenUsed/>
    <w:rsid w:val="00154cee"/>
    <w:pPr>
      <w:tabs>
        <w:tab w:val="clear" w:pos="720"/>
        <w:tab w:val="center" w:pos="4252" w:leader="none"/>
        <w:tab w:val="right" w:pos="8504" w:leader="none"/>
      </w:tabs>
    </w:pPr>
    <w:rPr/>
  </w:style>
  <w:style w:type="paragraph" w:styleId="Rodap">
    <w:name w:val="Footer"/>
    <w:basedOn w:val="Normal"/>
    <w:link w:val="RodapChar"/>
    <w:uiPriority w:val="99"/>
    <w:unhideWhenUsed/>
    <w:rsid w:val="00154cee"/>
    <w:pPr>
      <w:tabs>
        <w:tab w:val="clear" w:pos="720"/>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doi.org/10.3168/jds.2014-8232" TargetMode="External"/><Relationship Id="rId4" Type="http://schemas.openxmlformats.org/officeDocument/2006/relationships/hyperlink" Target="https://doi.org/10.1590/S0103-84782004000500033" TargetMode="External"/><Relationship Id="rId5" Type="http://schemas.openxmlformats.org/officeDocument/2006/relationships/hyperlink" Target="https://doi.org/10.17226/25806" TargetMode="External"/><Relationship Id="rId6" Type="http://schemas.openxmlformats.org/officeDocument/2006/relationships/hyperlink" Target="https://doi.org/10.1590/S1516-35982011000700026" TargetMode="External"/><Relationship Id="rId7" Type="http://schemas.openxmlformats.org/officeDocument/2006/relationships/hyperlink" Target="https://doi.org/10.2527/1992.70113562x" TargetMode="External"/><Relationship Id="rId8" Type="http://schemas.openxmlformats.org/officeDocument/2006/relationships/hyperlink" Target="http://www.cqbal.com.br/" TargetMode="External"/><Relationship Id="rId9" Type="http://schemas.openxmlformats.org/officeDocument/2006/relationships/hyperlink" Target="https://doi.org/10.1590/S1516-35981999000400033" TargetMode="Externa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glossaryDocument" Target="glossary/document.xml"/><Relationship Id="rId14" Type="http://schemas.openxmlformats.org/officeDocument/2006/relationships/customXml" Target="../customXml/item1.xml"/>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ral"/>
          <w:gallery w:val="placeholder"/>
        </w:category>
        <w:types>
          <w:type w:val="bbPlcHdr"/>
        </w:types>
        <w:behaviors>
          <w:behavior w:val="content"/>
        </w:behaviors>
        <w:guid w:val="{E31C9B40-1390-4488-81F2-573FC3197C1D}"/>
      </w:docPartPr>
      <w:docPartBody>
        <w:p w:rsidR="007C6D11" w:rsidRDefault="007C6D11">
          <w:r w:rsidRPr="00846397">
            <w:rPr>
              <w:rStyle w:val="TextodoEspaoReservado"/>
            </w:rPr>
            <w:t>Clique ou toque aqui para inserir o texto.</w:t>
          </w:r>
        </w:p>
      </w:docPartBody>
    </w:docPart>
    <w:docPart>
      <w:docPartPr>
        <w:name w:val="A55F972BF9E4440D8F6CC037B48D5E12"/>
        <w:category>
          <w:name w:val="Geral"/>
          <w:gallery w:val="placeholder"/>
        </w:category>
        <w:types>
          <w:type w:val="bbPlcHdr"/>
        </w:types>
        <w:behaviors>
          <w:behavior w:val="content"/>
        </w:behaviors>
        <w:guid w:val="{7293DAB6-319D-43A9-A29A-44964F5EDF2B}"/>
      </w:docPartPr>
      <w:docPartBody>
        <w:p w:rsidR="004D50D1" w:rsidRDefault="007C6D11" w:rsidP="007C6D11">
          <w:pPr>
            <w:pStyle w:val="A55F972BF9E4440D8F6CC037B48D5E12"/>
          </w:pPr>
          <w:r w:rsidRPr="00846397">
            <w:rPr>
              <w:rStyle w:val="TextodoEspaoReservado"/>
            </w:rPr>
            <w:t>Clique ou toque aqui para inserir o texto.</w:t>
          </w:r>
        </w:p>
      </w:docPartBody>
    </w:docPart>
    <w:docPart>
      <w:docPartPr>
        <w:name w:val="2B1B9CDFB83F4C909E791EE56B549376"/>
        <w:category>
          <w:name w:val="Geral"/>
          <w:gallery w:val="placeholder"/>
        </w:category>
        <w:types>
          <w:type w:val="bbPlcHdr"/>
        </w:types>
        <w:behaviors>
          <w:behavior w:val="content"/>
        </w:behaviors>
        <w:guid w:val="{556E7BD1-7F5E-4DE1-9E13-4A2966DE4074}"/>
      </w:docPartPr>
      <w:docPartBody>
        <w:p w:rsidR="003B0D82" w:rsidRDefault="00304BE4" w:rsidP="00304BE4">
          <w:pPr>
            <w:pStyle w:val="2B1B9CDFB83F4C909E791EE56B549376"/>
          </w:pPr>
          <w:r w:rsidRPr="00846397">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D11"/>
    <w:rsid w:val="0010502C"/>
    <w:rsid w:val="00146778"/>
    <w:rsid w:val="00304BE4"/>
    <w:rsid w:val="003B0D82"/>
    <w:rsid w:val="004D50D1"/>
    <w:rsid w:val="007269C8"/>
    <w:rsid w:val="007C6D11"/>
    <w:rsid w:val="008C32CB"/>
    <w:rsid w:val="009F26CD"/>
    <w:rsid w:val="00B802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04BE4"/>
    <w:rPr>
      <w:color w:val="808080"/>
    </w:rPr>
  </w:style>
  <w:style w:type="paragraph" w:customStyle="1" w:styleId="A55F972BF9E4440D8F6CC037B48D5E12">
    <w:name w:val="A55F972BF9E4440D8F6CC037B48D5E12"/>
    <w:rsid w:val="007C6D11"/>
  </w:style>
  <w:style w:type="paragraph" w:customStyle="1" w:styleId="2B1B9CDFB83F4C909E791EE56B549376">
    <w:name w:val="2B1B9CDFB83F4C909E791EE56B549376"/>
    <w:rsid w:val="00304B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DC0DD-A812-4F9B-90A7-014060F1B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LibreOffice/7.3.2.2$Windows_X86_64 LibreOffice_project/49f2b1bff42cfccbd8f788c8dc32c1c309559be0</Application>
  <AppVersion>15.0000</AppVersion>
  <Pages>4</Pages>
  <Words>1500</Words>
  <Characters>8191</Characters>
  <CharactersWithSpaces>9585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2023-10-11T00:17:00Z</dcterms:created>
  <dc:creator/>
  <dc:description/>
  <dc:language>pt-BR</dc:language>
  <cp:lastModifiedBy/>
  <dcterms:modified xsi:type="dcterms:W3CDTF">2023-10-11T00:51:00Z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