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ind w:left="0" w:right="-568" w:hanging="0"/>
        <w:jc w:val="center"/>
        <w:rPr>
          <w:rFonts w:ascii="Arial" w:hAnsi="Arial" w:eastAsia="Arial" w:cs="Arial"/>
          <w:color w:val="000000"/>
          <w:sz w:val="28"/>
          <w:szCs w:val="28"/>
        </w:rPr>
      </w:pPr>
      <w:r>
        <w:rPr>
          <w:rFonts w:eastAsia="Arial" w:cs="Arial" w:ascii="Arial" w:hAnsi="Arial"/>
          <w:b/>
          <w:sz w:val="28"/>
          <w:szCs w:val="28"/>
        </w:rPr>
        <w:t>TAXA DE CRESCIMENTO DIÁRIO DA PASTAGEM NÃO É INFLUENCIADA PELA PRESENÇA DE ÁRVORES</w:t>
      </w:r>
    </w:p>
    <w:p>
      <w:pPr>
        <w:pStyle w:val="Normal"/>
        <w:ind w:left="0" w:right="-568" w:hanging="0"/>
        <w:jc w:val="center"/>
        <w:rPr>
          <w:rFonts w:ascii="Arial" w:hAnsi="Arial" w:eastAsia="Arial" w:cs="Arial"/>
        </w:rPr>
      </w:pPr>
      <w:r>
        <w:rPr>
          <w:rFonts w:eastAsia="Arial" w:cs="Arial" w:ascii="Arial" w:hAnsi="Arial"/>
          <w:color w:val="000000"/>
          <w:sz w:val="20"/>
          <w:szCs w:val="20"/>
          <w:u w:val="single"/>
        </w:rPr>
        <w:t>Raphael Ramon Buch</w:t>
      </w:r>
      <w:r>
        <w:rPr>
          <w:rFonts w:eastAsia="Arial" w:cs="Arial" w:ascii="Arial" w:hAnsi="Arial"/>
          <w:color w:val="000000"/>
          <w:sz w:val="12"/>
          <w:szCs w:val="12"/>
          <w:vertAlign w:val="superscript"/>
        </w:rPr>
        <w:t>1</w:t>
      </w:r>
      <w:r>
        <w:rPr>
          <w:rFonts w:eastAsia="Arial" w:cs="Arial" w:ascii="Arial" w:hAnsi="Arial"/>
          <w:color w:val="000000"/>
          <w:sz w:val="20"/>
          <w:szCs w:val="20"/>
        </w:rPr>
        <w:t>, Cristian Specht Dewes</w:t>
      </w:r>
      <w:r>
        <w:rPr>
          <w:rFonts w:eastAsia="Arial" w:cs="Arial" w:ascii="Arial" w:hAnsi="Arial"/>
          <w:color w:val="000000"/>
          <w:sz w:val="12"/>
          <w:szCs w:val="12"/>
          <w:vertAlign w:val="superscript"/>
        </w:rPr>
        <w:t>1</w:t>
      </w:r>
      <w:r>
        <w:rPr>
          <w:rFonts w:eastAsia="Arial" w:cs="Arial" w:ascii="Arial" w:hAnsi="Arial"/>
          <w:color w:val="000000"/>
          <w:sz w:val="20"/>
          <w:szCs w:val="20"/>
        </w:rPr>
        <w:t>, Daniele Cristina da Silva Kazama, Luiz Fernando Zin Battisti, Abdon Luiz Schmitt Filho, Luiz Carlos Pinheiro Machado Filho, Willian da Silva de Oliveira</w:t>
      </w:r>
    </w:p>
    <w:p>
      <w:pPr>
        <w:pStyle w:val="Normal"/>
        <w:spacing w:before="0" w:after="0"/>
        <w:ind w:left="0" w:right="-568" w:firstLine="284"/>
        <w:jc w:val="center"/>
        <w:rPr>
          <w:rFonts w:ascii="Arial" w:hAnsi="Arial" w:eastAsia="Arial" w:cs="Arial"/>
          <w:color w:val="000000"/>
          <w:sz w:val="20"/>
          <w:szCs w:val="20"/>
        </w:rPr>
      </w:pPr>
      <w:r>
        <w:rPr>
          <w:rFonts w:eastAsia="Arial" w:cs="Arial" w:ascii="Arial" w:hAnsi="Arial"/>
          <w:color w:val="000000"/>
          <w:sz w:val="12"/>
          <w:szCs w:val="12"/>
          <w:vertAlign w:val="superscript"/>
        </w:rPr>
        <w:t>1</w:t>
      </w:r>
      <w:r>
        <w:rPr>
          <w:rFonts w:eastAsia="Arial" w:cs="Arial" w:ascii="Arial" w:hAnsi="Arial"/>
          <w:color w:val="000000"/>
          <w:sz w:val="20"/>
          <w:szCs w:val="20"/>
        </w:rPr>
        <w:t xml:space="preserve"> Universidade Federal de Santa Catarina, E-mail: </w:t>
      </w:r>
      <w:hyperlink r:id="rId2">
        <w:r>
          <w:rPr>
            <w:rFonts w:eastAsia="Arial" w:cs="Arial" w:ascii="Arial" w:hAnsi="Arial"/>
            <w:color w:val="0563C1"/>
            <w:sz w:val="20"/>
            <w:szCs w:val="20"/>
            <w:u w:val="single"/>
          </w:rPr>
          <w:t>raphabuch@gmail.com</w:t>
        </w:r>
      </w:hyperlink>
    </w:p>
    <w:p>
      <w:pPr>
        <w:pStyle w:val="Normal"/>
        <w:spacing w:before="0" w:after="0"/>
        <w:ind w:left="0" w:right="-568" w:firstLine="1066"/>
        <w:rPr>
          <w:rFonts w:ascii="Arial" w:hAnsi="Arial" w:eastAsia="Arial" w:cs="Arial"/>
          <w:color w:val="000000"/>
          <w:sz w:val="20"/>
          <w:szCs w:val="20"/>
        </w:rPr>
      </w:pPr>
      <w:r>
        <w:rPr>
          <w:rFonts w:eastAsia="Arial" w:cs="Arial" w:ascii="Arial" w:hAnsi="Arial"/>
          <w:color w:val="000000"/>
          <w:sz w:val="20"/>
          <w:szCs w:val="20"/>
        </w:rPr>
      </w:r>
    </w:p>
    <w:p>
      <w:pPr>
        <w:pStyle w:val="Normal"/>
        <w:spacing w:before="0" w:after="0"/>
        <w:ind w:left="-567" w:right="-568" w:hanging="0"/>
        <w:rPr>
          <w:rFonts w:ascii="Arial" w:hAnsi="Arial" w:eastAsia="Arial" w:cs="Arial"/>
        </w:rPr>
      </w:pPr>
      <w:r>
        <w:rPr>
          <w:rFonts w:eastAsia="Arial" w:cs="Arial" w:ascii="Arial" w:hAnsi="Arial"/>
          <w:b/>
          <w:color w:val="000000"/>
        </w:rPr>
        <w:t>Contribuição para a sociedade</w:t>
      </w:r>
      <w:r>
        <w:rPr>
          <w:rFonts w:eastAsia="Arial" w:cs="Arial" w:ascii="Arial" w:hAnsi="Arial"/>
          <w:color w:val="000000"/>
        </w:rPr>
        <w:t xml:space="preserve">: </w:t>
      </w:r>
      <w:r>
        <w:rPr>
          <w:rFonts w:eastAsia="Arial" w:cs="Arial" w:ascii="Arial" w:hAnsi="Arial"/>
        </w:rPr>
        <w:t>A integração pecuária-floresta visa promover benefícios mútuos, melhorando o solo, a forragem e o bem-estar dos animais, enquanto sustenta serviços ecossistêmicos. No entanto, a presença de árvores na área de pastagem pode dificultar a adoção. Neste estudo, estimamos a produção de forragem acumulada por dia durante o período de descanso em áreas sem árvores, com 5% ou 10% de núcleos arbóreos. Apesar da área reduzida, a produção de matéria verde (82,93 kg/ha) foi consistente em todas as áreas avaliadas, enquanto a matéria seca (17,8 kg/ha) foi melhor no tratamento 5%. Isso indica que produtores podem adotar sistemas baseados em pastagem com árvores sem comprometer a produção de forragem, ao mesmo tempo que proporcionam maior conforto para os animais e contribuem para a prestação de serviços ecossistêmicos.</w:t>
      </w:r>
    </w:p>
    <w:p>
      <w:pPr>
        <w:pStyle w:val="Normal"/>
        <w:spacing w:before="0" w:after="0"/>
        <w:ind w:left="0" w:right="-568" w:hanging="0"/>
        <w:rPr>
          <w:rFonts w:ascii="Arial" w:hAnsi="Arial" w:eastAsia="Arial" w:cs="Arial"/>
        </w:rPr>
      </w:pPr>
      <w:r>
        <w:rPr>
          <w:rFonts w:eastAsia="Arial" w:cs="Arial" w:ascii="Arial" w:hAnsi="Arial"/>
        </w:rPr>
      </w:r>
    </w:p>
    <w:p>
      <w:pPr>
        <w:pStyle w:val="Normal"/>
        <w:spacing w:before="0" w:after="0"/>
        <w:ind w:left="-567" w:right="-568" w:hanging="0"/>
        <w:rPr>
          <w:rFonts w:ascii="Arial" w:hAnsi="Arial" w:eastAsia="Arial" w:cs="Arial"/>
        </w:rPr>
      </w:pPr>
      <w:r>
        <w:rPr>
          <w:rFonts w:eastAsia="Arial" w:cs="Arial" w:ascii="Arial" w:hAnsi="Arial"/>
          <w:b/>
          <w:color w:val="000000"/>
        </w:rPr>
        <w:t>Palavras-chave</w:t>
      </w:r>
      <w:r>
        <w:rPr>
          <w:rFonts w:eastAsia="Arial" w:cs="Arial" w:ascii="Arial" w:hAnsi="Arial"/>
          <w:color w:val="000000"/>
        </w:rPr>
        <w:t>:</w:t>
      </w:r>
      <w:r>
        <w:rPr>
          <w:rFonts w:eastAsia="Arial" w:cs="Arial" w:ascii="Arial" w:hAnsi="Arial"/>
        </w:rPr>
        <w:t xml:space="preserve"> </w:t>
      </w:r>
      <w:r>
        <w:rPr>
          <w:rFonts w:eastAsia="Arial" w:cs="Arial" w:ascii="Arial" w:hAnsi="Arial"/>
          <w:color w:val="000000"/>
        </w:rPr>
        <w:t xml:space="preserve">Pastoreio </w:t>
      </w:r>
      <w:r>
        <w:rPr>
          <w:rFonts w:eastAsia="Arial" w:cs="Arial" w:ascii="Arial" w:hAnsi="Arial"/>
        </w:rPr>
        <w:t>r</w:t>
      </w:r>
      <w:r>
        <w:rPr>
          <w:rFonts w:eastAsia="Arial" w:cs="Arial" w:ascii="Arial" w:hAnsi="Arial"/>
          <w:color w:val="000000"/>
        </w:rPr>
        <w:t xml:space="preserve">acional </w:t>
      </w:r>
      <w:r>
        <w:rPr>
          <w:rFonts w:eastAsia="Arial" w:cs="Arial" w:ascii="Arial" w:hAnsi="Arial"/>
        </w:rPr>
        <w:t>v</w:t>
      </w:r>
      <w:r>
        <w:rPr>
          <w:rFonts w:eastAsia="Arial" w:cs="Arial" w:ascii="Arial" w:hAnsi="Arial"/>
          <w:color w:val="000000"/>
        </w:rPr>
        <w:t xml:space="preserve">oisin, </w:t>
      </w:r>
      <w:r>
        <w:rPr>
          <w:rFonts w:eastAsia="Arial" w:cs="Arial" w:ascii="Arial" w:hAnsi="Arial"/>
        </w:rPr>
        <w:t>n</w:t>
      </w:r>
      <w:r>
        <w:rPr>
          <w:rFonts w:eastAsia="Arial" w:cs="Arial" w:ascii="Arial" w:hAnsi="Arial"/>
          <w:color w:val="000000"/>
        </w:rPr>
        <w:t>úcleos arbóreos</w:t>
      </w:r>
      <w:r>
        <w:rPr>
          <w:rFonts w:eastAsia="Arial" w:cs="Arial" w:ascii="Arial" w:hAnsi="Arial"/>
        </w:rPr>
        <w:t>, silvipastoril, serviços ecossistêmicos.</w:t>
      </w:r>
    </w:p>
    <w:p>
      <w:pPr>
        <w:pStyle w:val="Normal"/>
        <w:spacing w:before="0" w:after="0"/>
        <w:ind w:left="0" w:right="-568" w:hanging="0"/>
        <w:rPr>
          <w:rFonts w:ascii="Arial" w:hAnsi="Arial" w:eastAsia="Arial" w:cs="Arial"/>
        </w:rPr>
      </w:pPr>
      <w:r>
        <w:rPr>
          <w:rFonts w:eastAsia="Arial" w:cs="Arial" w:ascii="Arial" w:hAnsi="Arial"/>
        </w:rPr>
      </w:r>
    </w:p>
    <w:p>
      <w:pPr>
        <w:pStyle w:val="Normal"/>
        <w:spacing w:before="0" w:after="0"/>
        <w:ind w:left="-567" w:right="-568" w:hanging="0"/>
        <w:rPr>
          <w:rFonts w:ascii="Arial" w:hAnsi="Arial" w:eastAsia="Arial" w:cs="Arial"/>
        </w:rPr>
      </w:pPr>
      <w:r>
        <w:rPr>
          <w:rFonts w:eastAsia="Arial" w:cs="Arial" w:ascii="Arial" w:hAnsi="Arial"/>
          <w:b/>
        </w:rPr>
        <w:t xml:space="preserve">Introdução: </w:t>
      </w:r>
      <w:r>
        <w:rPr>
          <w:rFonts w:eastAsia="Arial" w:cs="Arial" w:ascii="Arial" w:hAnsi="Arial"/>
          <w:color w:val="000000"/>
        </w:rPr>
        <w:t xml:space="preserve">Os sistemas silvipastoris (SSP) </w:t>
      </w:r>
      <w:r>
        <w:rPr>
          <w:rFonts w:eastAsia="Arial" w:cs="Arial" w:ascii="Arial" w:hAnsi="Arial"/>
        </w:rPr>
        <w:t>emergem</w:t>
      </w:r>
      <w:r>
        <w:rPr>
          <w:rFonts w:eastAsia="Arial" w:cs="Arial" w:ascii="Arial" w:hAnsi="Arial"/>
          <w:color w:val="000000"/>
        </w:rPr>
        <w:t xml:space="preserve"> como uma a</w:t>
      </w:r>
      <w:r>
        <w:rPr>
          <w:rFonts w:eastAsia="Arial" w:cs="Arial" w:ascii="Arial" w:hAnsi="Arial"/>
        </w:rPr>
        <w:t>lternativa para a recuperação ecológica de pastagens degradadas, apresentando-se como uma opção de produção pecuária sustentável e competitiva economicamente. Assim, os componentes tradicionais (animal e pastagem) são associados a plantas lenhosas ou produtos florestais não madeireiros. Esses sistemas são capazes de melhorar atributos físicos e químicos dos solos em regiões alteradas pelo uso inadequado (BATTISTI et al., 2008, 2020). O Sistema Silvipastoril com Núcleos (SSPnu) tem como objetivo a restauração ecológica de pastagens, visando à criação de sinergias que resultam no aumento da rentabilidade e da produção pecuária (SCHMITT FILHO &amp; FARLEY, 2020). Como resultado, este sistema não apenas proporciona melhorias nos atributos físicos, químicos e biológicos do solo (BATISTI et al., 2020), mas também cria um microclima favorável para os animais em pastoreio, promovendo, assim, um melhor bem-estar e aumento na produção (SCHMITT FILHO et al., 2013). Sendo assim este trabalho objetivou avaliar a produção acumulada de MV e MS em piquetes sem árvores e com 5 ou 10% da área ocupada por núcleos arbóreos.</w:t>
      </w:r>
    </w:p>
    <w:p>
      <w:pPr>
        <w:pStyle w:val="Normal"/>
        <w:spacing w:before="0" w:after="0"/>
        <w:ind w:left="0" w:right="-568" w:hanging="0"/>
        <w:rPr>
          <w:rFonts w:ascii="Arial" w:hAnsi="Arial" w:eastAsia="Arial" w:cs="Arial"/>
        </w:rPr>
      </w:pPr>
      <w:r>
        <w:rPr>
          <w:rFonts w:eastAsia="Arial" w:cs="Arial" w:ascii="Arial" w:hAnsi="Arial"/>
        </w:rPr>
      </w:r>
    </w:p>
    <w:p>
      <w:pPr>
        <w:pStyle w:val="Normal"/>
        <w:spacing w:before="0" w:after="0"/>
        <w:ind w:left="-567" w:right="-568" w:hanging="0"/>
        <w:rPr>
          <w:rFonts w:ascii="Arial" w:hAnsi="Arial" w:eastAsia="Arial" w:cs="Arial"/>
        </w:rPr>
      </w:pPr>
      <w:bookmarkStart w:id="0" w:name="_heading=h.udeq7mjasu5n"/>
      <w:bookmarkEnd w:id="0"/>
      <w:r>
        <w:rPr>
          <w:rFonts w:eastAsia="Arial" w:cs="Arial" w:ascii="Arial" w:hAnsi="Arial"/>
          <w:b/>
          <w:color w:val="000000"/>
        </w:rPr>
        <w:t>Material e métodos:</w:t>
      </w:r>
      <w:r>
        <w:rPr>
          <w:rFonts w:eastAsia="Arial" w:cs="Arial" w:ascii="Arial" w:hAnsi="Arial"/>
          <w:color w:val="000000"/>
        </w:rPr>
        <w:t xml:space="preserve"> </w:t>
      </w:r>
      <w:r>
        <w:rPr>
          <w:rFonts w:eastAsia="Arial" w:cs="Arial" w:ascii="Arial" w:hAnsi="Arial"/>
        </w:rPr>
        <w:t>O experimento foi realizado na Unidade de Ensino e Pesquisa em Sistemas Silvipastoris com Núcleos no Biotério de Bovinos, localizado na Fazenda Experimental da Ressacada (FER/UFSC) em Florianópolis, Estado de Santa Catarina. O terreno é plano, e o solo é classificado como um Neossolo Quartzarênico Hidromórfico Típico, constituído predominantemente por areia escura, com baixos teores de fósforo e potássio, pH em água de 5,5, alto teor de matéria orgânica e nível de água subterrânea a menos de 1 m da superfície. Os SSPnúcleos foram implementados no final de 2018 em uma área previamente gerenciada sob sistema de Pastoreio Racional Voisin. Os diferentes tratamentos consistiram em piquetes com presença de SSPnúcleos em duas densidades: 5% (SSPnu5) e 10% (SSPnu10) da área, além da pastagem sem árvores (PSA) conforme a Figura 1. O experimento avaliou dezoito piquetes, organizados em três blocos com 6 piquetes cada (2 por tratamento). Os núcleos arbóreos foram constituídos com uma variedade de espécies vegetais, incluindo tucaneira (Citharexylum myrianthum), ingá (Ingá sessilis), bananeiras (Musa paradisiaca), guandú (Cajanus cajam), capim elefante (Penisetum purpureum), totalizando 40 núcleos de 25m² cada, contribuídos de maneira uniforme, contribuindo para um total de 5 núcleos por piquete no SSPnu5 e 10 núcleos no SSPnu10 (Tabela 1). Os núcleos foram cercados para possibilitar o desenvolvimento de pequenas agroflorestas sucessionais (SCHMITT FILHO et al., 2013; SCHMITT FILHO &amp; FARLEY 2020).</w:t>
      </w:r>
    </w:p>
    <w:p>
      <w:pPr>
        <w:pStyle w:val="Normal"/>
        <w:ind w:left="0" w:right="-568" w:hanging="0"/>
        <w:jc w:val="center"/>
        <w:rPr>
          <w:rFonts w:ascii="Arial" w:hAnsi="Arial" w:eastAsia="Arial" w:cs="Arial"/>
        </w:rPr>
      </w:pPr>
      <w:r>
        <w:rPr/>
        <w:drawing>
          <wp:inline distT="0" distB="0" distL="0" distR="0">
            <wp:extent cx="3253740" cy="992505"/>
            <wp:effectExtent l="0" t="0" r="0" b="0"/>
            <wp:docPr id="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
                    <pic:cNvPicPr>
                      <a:picLocks noChangeAspect="1" noChangeArrowheads="1"/>
                    </pic:cNvPicPr>
                  </pic:nvPicPr>
                  <pic:blipFill>
                    <a:blip r:embed="rId3"/>
                    <a:stretch>
                      <a:fillRect/>
                    </a:stretch>
                  </pic:blipFill>
                  <pic:spPr bwMode="auto">
                    <a:xfrm>
                      <a:off x="0" y="0"/>
                      <a:ext cx="3253740" cy="992505"/>
                    </a:xfrm>
                    <a:prstGeom prst="rect">
                      <a:avLst/>
                    </a:prstGeom>
                  </pic:spPr>
                </pic:pic>
              </a:graphicData>
            </a:graphic>
          </wp:inline>
        </w:drawing>
      </w:r>
    </w:p>
    <w:p>
      <w:pPr>
        <w:pStyle w:val="Normal"/>
        <w:spacing w:before="0" w:after="0"/>
        <w:ind w:left="-567" w:right="-568" w:hanging="0"/>
        <w:rPr>
          <w:rFonts w:ascii="Arial" w:hAnsi="Arial" w:eastAsia="Arial" w:cs="Arial"/>
          <w:sz w:val="20"/>
          <w:szCs w:val="20"/>
        </w:rPr>
      </w:pPr>
      <w:bookmarkStart w:id="1" w:name="_heading=h.bpuiddfx6x5c"/>
      <w:bookmarkEnd w:id="1"/>
      <w:r>
        <w:rPr>
          <w:rFonts w:eastAsia="Arial" w:cs="Arial" w:ascii="Arial" w:hAnsi="Arial"/>
          <w:sz w:val="20"/>
          <w:szCs w:val="20"/>
        </w:rPr>
        <w:t xml:space="preserve">Figura 1 - Representação esquemática da divisão dos tratamentos do experimento. Sistema Silvipastoris com 5% da área-SSPnu5 (SSP5), e 10% da área-SSPnu10 (SSP10), e pastagem sem árvores (PSA). </w:t>
      </w:r>
    </w:p>
    <w:p>
      <w:pPr>
        <w:pStyle w:val="Normal"/>
        <w:spacing w:before="0" w:after="0"/>
        <w:ind w:left="-567" w:right="-568" w:hanging="0"/>
        <w:rPr>
          <w:rFonts w:ascii="Arial" w:hAnsi="Arial" w:eastAsia="Arial" w:cs="Arial"/>
          <w:sz w:val="20"/>
          <w:szCs w:val="20"/>
        </w:rPr>
      </w:pPr>
      <w:r>
        <w:rPr>
          <w:rFonts w:eastAsia="Arial" w:cs="Arial" w:ascii="Arial" w:hAnsi="Arial"/>
          <w:sz w:val="20"/>
          <w:szCs w:val="20"/>
        </w:rPr>
        <w:t>Fonte: O próprio autor.</w:t>
      </w:r>
    </w:p>
    <w:p>
      <w:pPr>
        <w:pStyle w:val="Normal"/>
        <w:spacing w:before="0" w:after="0"/>
        <w:ind w:left="0" w:right="-568" w:hanging="0"/>
        <w:rPr/>
      </w:pPr>
      <w:r>
        <w:rPr/>
      </w:r>
    </w:p>
    <w:p>
      <w:pPr>
        <w:pStyle w:val="Normal"/>
        <w:spacing w:before="0" w:after="0"/>
        <w:ind w:left="-567" w:right="-568" w:hanging="0"/>
        <w:rPr>
          <w:rFonts w:ascii="Arial" w:hAnsi="Arial" w:eastAsia="Arial" w:cs="Arial"/>
        </w:rPr>
      </w:pPr>
      <w:r>
        <w:rPr>
          <w:rFonts w:eastAsia="Arial" w:cs="Arial" w:ascii="Arial" w:hAnsi="Arial"/>
        </w:rPr>
        <w:t xml:space="preserve">As coletas foram divididas em 5 ocupações, definidas pela avaliação do ponto ótimo de repouso da pastagem (MACHADO </w:t>
      </w:r>
      <w:r>
        <w:rPr>
          <w:rFonts w:eastAsia="Arial" w:cs="Arial" w:ascii="Arial" w:hAnsi="Arial"/>
          <w:smallCaps/>
        </w:rPr>
        <w:t>FILHO</w:t>
      </w:r>
      <w:r>
        <w:rPr>
          <w:rFonts w:eastAsia="Arial" w:cs="Arial" w:ascii="Arial" w:hAnsi="Arial"/>
        </w:rPr>
        <w:t xml:space="preserve"> et al. 2021), as quais aconteceram em agosto e novembro de 2021, janeiro, março e abril de 2022. No tratamento PSA foram coletados 4 pontos do piquete (rente ao solo), no tratamento SSPnu5 foram coletados, em 2 núcleos, 4 pontos a 5m (distante do núcleo-internúcleo) e 4 pontos a 2,5m (entorno do núcleo) de cada núcleo. Já no SSPnu10 foram coletados ao redor de 4 núcleos outros 4 pontos a 5m e 4 pontos a 2,5m de cada núcleo. </w:t>
      </w:r>
    </w:p>
    <w:p>
      <w:pPr>
        <w:pStyle w:val="Normal"/>
        <w:spacing w:before="0" w:after="0"/>
        <w:ind w:left="-567" w:right="-568" w:hanging="0"/>
        <w:rPr>
          <w:rFonts w:ascii="Arial" w:hAnsi="Arial" w:eastAsia="Arial" w:cs="Arial"/>
          <w:b/>
          <w:b/>
        </w:rPr>
      </w:pPr>
      <w:r>
        <w:rPr>
          <w:rFonts w:eastAsia="Arial" w:cs="Arial" w:ascii="Arial" w:hAnsi="Arial"/>
          <w:b/>
        </w:rPr>
      </w:r>
    </w:p>
    <w:p>
      <w:pPr>
        <w:pStyle w:val="Normal"/>
        <w:keepNext w:val="true"/>
        <w:pBdr/>
        <w:spacing w:before="0" w:after="0"/>
        <w:ind w:left="-567" w:right="-568" w:hanging="0"/>
        <w:rPr>
          <w:rFonts w:ascii="Arial" w:hAnsi="Arial" w:eastAsia="Arial" w:cs="Arial"/>
          <w:i/>
          <w:i/>
          <w:color w:val="000000"/>
        </w:rPr>
      </w:pPr>
      <w:r>
        <w:rPr>
          <w:rFonts w:eastAsia="Arial" w:cs="Arial" w:ascii="Arial" w:hAnsi="Arial"/>
          <w:b/>
          <w:color w:val="000000"/>
        </w:rPr>
        <w:t>Tabela 1</w:t>
      </w:r>
      <w:r>
        <w:rPr>
          <w:rFonts w:eastAsia="Arial" w:cs="Arial" w:ascii="Arial" w:hAnsi="Arial"/>
          <w:i/>
          <w:color w:val="000000"/>
        </w:rPr>
        <w:t xml:space="preserve"> - </w:t>
      </w:r>
      <w:r>
        <w:rPr>
          <w:rFonts w:eastAsia="Arial" w:cs="Arial" w:ascii="Arial" w:hAnsi="Arial"/>
          <w:color w:val="000000"/>
        </w:rPr>
        <w:t>Área útil de Pastagem e núcleos em 1 hectare. Sistema Silvipastoris com 5% da área (SSPnu5), e 10% da área (SSPnu10), e pastagem sem árvores (PSA).</w:t>
      </w:r>
    </w:p>
    <w:tbl>
      <w:tblPr>
        <w:tblStyle w:val="a"/>
        <w:tblW w:w="9525" w:type="dxa"/>
        <w:jc w:val="left"/>
        <w:tblInd w:w="-513" w:type="dxa"/>
        <w:tblLayout w:type="fixed"/>
        <w:tblCellMar>
          <w:top w:w="0" w:type="dxa"/>
          <w:left w:w="108" w:type="dxa"/>
          <w:bottom w:w="0" w:type="dxa"/>
          <w:right w:w="108" w:type="dxa"/>
        </w:tblCellMar>
        <w:tblLook w:firstRow="0" w:noVBand="1" w:lastRow="0" w:firstColumn="0" w:lastColumn="0" w:noHBand="1" w:val="0600"/>
      </w:tblPr>
      <w:tblGrid>
        <w:gridCol w:w="2354"/>
        <w:gridCol w:w="871"/>
        <w:gridCol w:w="2025"/>
        <w:gridCol w:w="1529"/>
        <w:gridCol w:w="1276"/>
        <w:gridCol w:w="1469"/>
      </w:tblGrid>
      <w:tr>
        <w:trPr>
          <w:trHeight w:val="208" w:hRule="atLeast"/>
        </w:trPr>
        <w:tc>
          <w:tcPr>
            <w:tcW w:w="2354" w:type="dxa"/>
            <w:vMerge w:val="restart"/>
            <w:tcBorders>
              <w:top w:val="single" w:sz="8" w:space="0" w:color="000000"/>
              <w:bottom w:val="single" w:sz="8" w:space="0" w:color="000000"/>
            </w:tcBorders>
          </w:tcPr>
          <w:p>
            <w:pPr>
              <w:pStyle w:val="Normal"/>
              <w:widowControl w:val="false"/>
              <w:spacing w:before="0" w:after="0"/>
              <w:ind w:left="360" w:firstLine="1066"/>
              <w:rPr>
                <w:rFonts w:ascii="Arial" w:hAnsi="Arial" w:eastAsia="Arial" w:cs="Arial"/>
                <w:sz w:val="20"/>
                <w:szCs w:val="20"/>
              </w:rPr>
            </w:pPr>
            <w:r>
              <w:rPr>
                <w:rFonts w:eastAsia="Arial" w:cs="Arial" w:ascii="Arial" w:hAnsi="Arial"/>
                <w:sz w:val="20"/>
                <w:szCs w:val="20"/>
              </w:rPr>
            </w:r>
          </w:p>
        </w:tc>
        <w:tc>
          <w:tcPr>
            <w:tcW w:w="871" w:type="dxa"/>
            <w:vMerge w:val="restart"/>
            <w:tcBorders>
              <w:top w:val="single" w:sz="8" w:space="0" w:color="000000"/>
              <w:bottom w:val="single" w:sz="8" w:space="0" w:color="000000"/>
            </w:tcBorders>
            <w:vAlign w:val="center"/>
          </w:tcPr>
          <w:p>
            <w:pPr>
              <w:pStyle w:val="Normal"/>
              <w:widowControl w:val="false"/>
              <w:spacing w:before="0" w:after="0"/>
              <w:ind w:left="0" w:hanging="0"/>
              <w:jc w:val="center"/>
              <w:rPr>
                <w:rFonts w:ascii="Arial" w:hAnsi="Arial" w:eastAsia="Arial" w:cs="Arial"/>
                <w:sz w:val="20"/>
                <w:szCs w:val="20"/>
              </w:rPr>
            </w:pPr>
            <w:r>
              <w:rPr>
                <w:rFonts w:eastAsia="Arial" w:cs="Arial" w:ascii="Arial" w:hAnsi="Arial"/>
                <w:sz w:val="20"/>
                <w:szCs w:val="20"/>
              </w:rPr>
              <w:t>PSA</w:t>
            </w:r>
          </w:p>
        </w:tc>
        <w:tc>
          <w:tcPr>
            <w:tcW w:w="3554" w:type="dxa"/>
            <w:gridSpan w:val="2"/>
            <w:tcBorders>
              <w:top w:val="single" w:sz="8" w:space="0" w:color="000000"/>
            </w:tcBorders>
            <w:vAlign w:val="center"/>
          </w:tcPr>
          <w:p>
            <w:pPr>
              <w:pStyle w:val="Normal"/>
              <w:widowControl w:val="false"/>
              <w:spacing w:before="0" w:after="0"/>
              <w:ind w:left="-39" w:firstLine="142"/>
              <w:jc w:val="center"/>
              <w:rPr>
                <w:rFonts w:ascii="Arial" w:hAnsi="Arial" w:eastAsia="Arial" w:cs="Arial"/>
                <w:sz w:val="20"/>
                <w:szCs w:val="20"/>
              </w:rPr>
            </w:pPr>
            <w:r>
              <w:rPr>
                <w:rFonts w:eastAsia="Arial" w:cs="Arial" w:ascii="Arial" w:hAnsi="Arial"/>
                <w:sz w:val="20"/>
                <w:szCs w:val="20"/>
              </w:rPr>
              <w:t>SSPnu5</w:t>
            </w:r>
          </w:p>
        </w:tc>
        <w:tc>
          <w:tcPr>
            <w:tcW w:w="2745" w:type="dxa"/>
            <w:gridSpan w:val="2"/>
            <w:tcBorders>
              <w:top w:val="single" w:sz="8" w:space="0" w:color="000000"/>
            </w:tcBorders>
            <w:shd w:color="auto" w:fill="auto" w:val="clear"/>
            <w:vAlign w:val="center"/>
          </w:tcPr>
          <w:p>
            <w:pPr>
              <w:pStyle w:val="Normal"/>
              <w:widowControl w:val="false"/>
              <w:spacing w:before="0" w:after="0"/>
              <w:ind w:left="12" w:hanging="0"/>
              <w:jc w:val="center"/>
              <w:rPr>
                <w:rFonts w:ascii="Arial" w:hAnsi="Arial" w:eastAsia="Arial" w:cs="Arial"/>
                <w:sz w:val="20"/>
                <w:szCs w:val="20"/>
              </w:rPr>
            </w:pPr>
            <w:r>
              <w:rPr>
                <w:rFonts w:eastAsia="Arial" w:cs="Arial" w:ascii="Arial" w:hAnsi="Arial"/>
                <w:sz w:val="20"/>
                <w:szCs w:val="20"/>
              </w:rPr>
              <w:t>SSPnu10</w:t>
            </w:r>
          </w:p>
        </w:tc>
      </w:tr>
      <w:tr>
        <w:trPr>
          <w:trHeight w:val="20" w:hRule="atLeast"/>
        </w:trPr>
        <w:tc>
          <w:tcPr>
            <w:tcW w:w="2354" w:type="dxa"/>
            <w:vMerge w:val="continue"/>
            <w:tcBorders>
              <w:top w:val="single" w:sz="8" w:space="0" w:color="000000"/>
              <w:bottom w:val="single" w:sz="8" w:space="0" w:color="000000"/>
            </w:tcBorders>
          </w:tcPr>
          <w:p>
            <w:pPr>
              <w:pStyle w:val="Normal"/>
              <w:widowControl w:val="false"/>
              <w:pBdr/>
              <w:spacing w:lineRule="auto" w:line="276" w:before="0" w:after="0"/>
              <w:ind w:left="0" w:hanging="0"/>
              <w:jc w:val="left"/>
              <w:rPr>
                <w:rFonts w:ascii="Arial" w:hAnsi="Arial" w:eastAsia="Arial" w:cs="Arial"/>
                <w:sz w:val="20"/>
                <w:szCs w:val="20"/>
              </w:rPr>
            </w:pPr>
            <w:r>
              <w:rPr>
                <w:rFonts w:eastAsia="Arial" w:cs="Arial" w:ascii="Arial" w:hAnsi="Arial"/>
                <w:sz w:val="20"/>
                <w:szCs w:val="20"/>
              </w:rPr>
            </w:r>
          </w:p>
        </w:tc>
        <w:tc>
          <w:tcPr>
            <w:tcW w:w="871" w:type="dxa"/>
            <w:vMerge w:val="continue"/>
            <w:tcBorders>
              <w:top w:val="single" w:sz="8" w:space="0" w:color="000000"/>
              <w:bottom w:val="single" w:sz="8" w:space="0" w:color="000000"/>
            </w:tcBorders>
            <w:vAlign w:val="center"/>
          </w:tcPr>
          <w:p>
            <w:pPr>
              <w:pStyle w:val="Normal"/>
              <w:widowControl w:val="false"/>
              <w:pBdr/>
              <w:spacing w:lineRule="auto" w:line="276" w:before="0" w:after="0"/>
              <w:ind w:left="0" w:hanging="0"/>
              <w:jc w:val="center"/>
              <w:rPr>
                <w:rFonts w:ascii="Arial" w:hAnsi="Arial" w:eastAsia="Arial" w:cs="Arial"/>
                <w:sz w:val="20"/>
                <w:szCs w:val="20"/>
              </w:rPr>
            </w:pPr>
            <w:r>
              <w:rPr>
                <w:rFonts w:eastAsia="Arial" w:cs="Arial" w:ascii="Arial" w:hAnsi="Arial"/>
                <w:sz w:val="20"/>
                <w:szCs w:val="20"/>
              </w:rPr>
            </w:r>
          </w:p>
        </w:tc>
        <w:tc>
          <w:tcPr>
            <w:tcW w:w="2025" w:type="dxa"/>
            <w:tcBorders>
              <w:bottom w:val="single" w:sz="8" w:space="0" w:color="000000"/>
            </w:tcBorders>
            <w:shd w:color="auto" w:fill="auto" w:val="clear"/>
            <w:vAlign w:val="center"/>
          </w:tcPr>
          <w:p>
            <w:pPr>
              <w:pStyle w:val="Normal"/>
              <w:widowControl w:val="false"/>
              <w:spacing w:before="0" w:after="0"/>
              <w:ind w:left="-3" w:firstLine="3"/>
              <w:jc w:val="center"/>
              <w:rPr>
                <w:rFonts w:ascii="Arial" w:hAnsi="Arial" w:eastAsia="Arial" w:cs="Arial"/>
                <w:sz w:val="20"/>
                <w:szCs w:val="20"/>
              </w:rPr>
            </w:pPr>
            <w:r>
              <w:rPr>
                <w:rFonts w:eastAsia="Arial" w:cs="Arial" w:ascii="Arial" w:hAnsi="Arial"/>
                <w:sz w:val="20"/>
                <w:szCs w:val="20"/>
              </w:rPr>
              <w:t>Entorno</w:t>
            </w:r>
          </w:p>
        </w:tc>
        <w:tc>
          <w:tcPr>
            <w:tcW w:w="1529" w:type="dxa"/>
            <w:tcBorders>
              <w:bottom w:val="single" w:sz="8" w:space="0" w:color="000000"/>
            </w:tcBorders>
            <w:shd w:color="auto" w:fill="auto" w:val="clear"/>
            <w:vAlign w:val="center"/>
          </w:tcPr>
          <w:p>
            <w:pPr>
              <w:pStyle w:val="Normal"/>
              <w:widowControl w:val="false"/>
              <w:spacing w:before="0" w:after="0"/>
              <w:ind w:left="0" w:hanging="0"/>
              <w:jc w:val="center"/>
              <w:rPr>
                <w:rFonts w:ascii="Arial" w:hAnsi="Arial" w:eastAsia="Arial" w:cs="Arial"/>
                <w:sz w:val="20"/>
                <w:szCs w:val="20"/>
              </w:rPr>
            </w:pPr>
            <w:r>
              <w:rPr>
                <w:rFonts w:eastAsia="Arial" w:cs="Arial" w:ascii="Arial" w:hAnsi="Arial"/>
                <w:sz w:val="20"/>
                <w:szCs w:val="20"/>
              </w:rPr>
              <w:t>Internúcleo</w:t>
            </w:r>
          </w:p>
        </w:tc>
        <w:tc>
          <w:tcPr>
            <w:tcW w:w="1276" w:type="dxa"/>
            <w:tcBorders>
              <w:bottom w:val="single" w:sz="8" w:space="0" w:color="000000"/>
            </w:tcBorders>
            <w:shd w:color="auto" w:fill="auto" w:val="clear"/>
            <w:vAlign w:val="center"/>
          </w:tcPr>
          <w:p>
            <w:pPr>
              <w:pStyle w:val="Normal"/>
              <w:widowControl w:val="false"/>
              <w:spacing w:before="0" w:after="0"/>
              <w:ind w:left="0" w:right="1" w:hanging="0"/>
              <w:jc w:val="center"/>
              <w:rPr>
                <w:rFonts w:ascii="Arial" w:hAnsi="Arial" w:eastAsia="Arial" w:cs="Arial"/>
                <w:sz w:val="20"/>
                <w:szCs w:val="20"/>
              </w:rPr>
            </w:pPr>
            <w:r>
              <w:rPr>
                <w:rFonts w:eastAsia="Arial" w:cs="Arial" w:ascii="Arial" w:hAnsi="Arial"/>
                <w:sz w:val="20"/>
                <w:szCs w:val="20"/>
              </w:rPr>
              <w:t>Entorno</w:t>
            </w:r>
          </w:p>
        </w:tc>
        <w:tc>
          <w:tcPr>
            <w:tcW w:w="1469" w:type="dxa"/>
            <w:tcBorders>
              <w:bottom w:val="single" w:sz="8" w:space="0" w:color="000000"/>
            </w:tcBorders>
            <w:shd w:color="auto" w:fill="auto" w:val="clear"/>
            <w:vAlign w:val="center"/>
          </w:tcPr>
          <w:p>
            <w:pPr>
              <w:pStyle w:val="Normal"/>
              <w:widowControl w:val="false"/>
              <w:spacing w:before="0" w:after="0"/>
              <w:ind w:left="0" w:hanging="0"/>
              <w:jc w:val="center"/>
              <w:rPr>
                <w:rFonts w:ascii="Arial" w:hAnsi="Arial" w:eastAsia="Arial" w:cs="Arial"/>
                <w:sz w:val="20"/>
                <w:szCs w:val="20"/>
              </w:rPr>
            </w:pPr>
            <w:r>
              <w:rPr>
                <w:rFonts w:eastAsia="Arial" w:cs="Arial" w:ascii="Arial" w:hAnsi="Arial"/>
                <w:sz w:val="20"/>
                <w:szCs w:val="20"/>
              </w:rPr>
              <w:t>Internúcleo</w:t>
            </w:r>
          </w:p>
        </w:tc>
      </w:tr>
      <w:tr>
        <w:trPr>
          <w:trHeight w:val="251" w:hRule="atLeast"/>
        </w:trPr>
        <w:tc>
          <w:tcPr>
            <w:tcW w:w="2354" w:type="dxa"/>
            <w:tcBorders>
              <w:top w:val="single" w:sz="8" w:space="0" w:color="000000"/>
            </w:tcBorders>
            <w:shd w:color="auto" w:fill="auto" w:val="clear"/>
          </w:tcPr>
          <w:p>
            <w:pPr>
              <w:pStyle w:val="Normal"/>
              <w:widowControl w:val="false"/>
              <w:spacing w:before="0" w:after="0"/>
              <w:ind w:left="0" w:right="-383" w:hanging="13"/>
              <w:rPr>
                <w:rFonts w:ascii="Arial" w:hAnsi="Arial" w:eastAsia="Arial" w:cs="Arial"/>
                <w:sz w:val="20"/>
                <w:szCs w:val="20"/>
              </w:rPr>
            </w:pPr>
            <w:r>
              <w:rPr>
                <w:rFonts w:eastAsia="Arial" w:cs="Arial" w:ascii="Arial" w:hAnsi="Arial"/>
                <w:sz w:val="20"/>
                <w:szCs w:val="20"/>
              </w:rPr>
              <w:t xml:space="preserve">   </w:t>
            </w:r>
            <w:r>
              <w:rPr>
                <w:rFonts w:eastAsia="Arial" w:cs="Arial" w:ascii="Arial" w:hAnsi="Arial"/>
                <w:sz w:val="20"/>
                <w:szCs w:val="20"/>
              </w:rPr>
              <w:t>Área pastagem (m²)</w:t>
            </w:r>
          </w:p>
        </w:tc>
        <w:tc>
          <w:tcPr>
            <w:tcW w:w="871" w:type="dxa"/>
            <w:tcBorders>
              <w:top w:val="single" w:sz="8" w:space="0" w:color="000000"/>
            </w:tcBorders>
            <w:shd w:color="auto" w:fill="auto" w:val="clear"/>
            <w:vAlign w:val="center"/>
          </w:tcPr>
          <w:p>
            <w:pPr>
              <w:pStyle w:val="Normal"/>
              <w:widowControl w:val="false"/>
              <w:spacing w:before="0" w:after="0"/>
              <w:ind w:left="42" w:hanging="0"/>
              <w:jc w:val="center"/>
              <w:rPr>
                <w:rFonts w:ascii="Arial" w:hAnsi="Arial" w:eastAsia="Arial" w:cs="Arial"/>
                <w:sz w:val="20"/>
                <w:szCs w:val="20"/>
              </w:rPr>
            </w:pPr>
            <w:r>
              <w:rPr>
                <w:rFonts w:eastAsia="Arial" w:cs="Arial" w:ascii="Arial" w:hAnsi="Arial"/>
                <w:sz w:val="20"/>
                <w:szCs w:val="20"/>
              </w:rPr>
              <w:t>10.000</w:t>
            </w:r>
          </w:p>
        </w:tc>
        <w:tc>
          <w:tcPr>
            <w:tcW w:w="2025" w:type="dxa"/>
            <w:tcBorders/>
            <w:shd w:color="auto" w:fill="auto" w:val="clear"/>
            <w:vAlign w:val="center"/>
          </w:tcPr>
          <w:p>
            <w:pPr>
              <w:pStyle w:val="Normal"/>
              <w:widowControl w:val="false"/>
              <w:spacing w:before="0" w:after="0"/>
              <w:ind w:left="0" w:firstLine="39"/>
              <w:jc w:val="center"/>
              <w:rPr>
                <w:rFonts w:ascii="Arial" w:hAnsi="Arial" w:eastAsia="Arial" w:cs="Arial"/>
                <w:sz w:val="20"/>
                <w:szCs w:val="20"/>
              </w:rPr>
            </w:pPr>
            <w:r>
              <w:rPr>
                <w:rFonts w:eastAsia="Arial" w:cs="Arial" w:ascii="Arial" w:hAnsi="Arial"/>
                <w:sz w:val="20"/>
                <w:szCs w:val="20"/>
              </w:rPr>
              <w:t>1.500</w:t>
            </w:r>
          </w:p>
        </w:tc>
        <w:tc>
          <w:tcPr>
            <w:tcW w:w="1529" w:type="dxa"/>
            <w:tcBorders/>
            <w:shd w:color="auto" w:fill="auto" w:val="clear"/>
            <w:vAlign w:val="center"/>
          </w:tcPr>
          <w:p>
            <w:pPr>
              <w:pStyle w:val="Normal"/>
              <w:widowControl w:val="false"/>
              <w:spacing w:before="0" w:after="0"/>
              <w:ind w:left="0" w:hanging="0"/>
              <w:jc w:val="center"/>
              <w:rPr>
                <w:rFonts w:ascii="Arial" w:hAnsi="Arial" w:eastAsia="Arial" w:cs="Arial"/>
                <w:sz w:val="20"/>
                <w:szCs w:val="20"/>
              </w:rPr>
            </w:pPr>
            <w:r>
              <w:rPr>
                <w:rFonts w:eastAsia="Arial" w:cs="Arial" w:ascii="Arial" w:hAnsi="Arial"/>
                <w:sz w:val="20"/>
                <w:szCs w:val="20"/>
              </w:rPr>
              <w:t>8.000</w:t>
            </w:r>
          </w:p>
        </w:tc>
        <w:tc>
          <w:tcPr>
            <w:tcW w:w="1276" w:type="dxa"/>
            <w:tcBorders/>
            <w:shd w:color="auto" w:fill="auto" w:val="clear"/>
            <w:vAlign w:val="center"/>
          </w:tcPr>
          <w:p>
            <w:pPr>
              <w:pStyle w:val="Normal"/>
              <w:widowControl w:val="false"/>
              <w:spacing w:before="0" w:after="0"/>
              <w:ind w:left="0" w:firstLine="16"/>
              <w:jc w:val="center"/>
              <w:rPr>
                <w:rFonts w:ascii="Arial" w:hAnsi="Arial" w:eastAsia="Arial" w:cs="Arial"/>
                <w:sz w:val="20"/>
                <w:szCs w:val="20"/>
              </w:rPr>
            </w:pPr>
            <w:r>
              <w:rPr>
                <w:rFonts w:eastAsia="Arial" w:cs="Arial" w:ascii="Arial" w:hAnsi="Arial"/>
                <w:sz w:val="20"/>
                <w:szCs w:val="20"/>
              </w:rPr>
              <w:t>3.000</w:t>
            </w:r>
          </w:p>
        </w:tc>
        <w:tc>
          <w:tcPr>
            <w:tcW w:w="1469" w:type="dxa"/>
            <w:tcBorders/>
            <w:shd w:color="auto" w:fill="auto" w:val="clear"/>
            <w:vAlign w:val="center"/>
          </w:tcPr>
          <w:p>
            <w:pPr>
              <w:pStyle w:val="Normal"/>
              <w:widowControl w:val="false"/>
              <w:spacing w:before="0" w:after="0"/>
              <w:ind w:left="0" w:hanging="0"/>
              <w:jc w:val="center"/>
              <w:rPr>
                <w:rFonts w:ascii="Arial" w:hAnsi="Arial" w:eastAsia="Arial" w:cs="Arial"/>
                <w:sz w:val="20"/>
                <w:szCs w:val="20"/>
              </w:rPr>
            </w:pPr>
            <w:r>
              <w:rPr>
                <w:rFonts w:eastAsia="Arial" w:cs="Arial" w:ascii="Arial" w:hAnsi="Arial"/>
                <w:sz w:val="20"/>
                <w:szCs w:val="20"/>
              </w:rPr>
              <w:t>6.000</w:t>
            </w:r>
          </w:p>
        </w:tc>
      </w:tr>
      <w:tr>
        <w:trPr>
          <w:trHeight w:val="320" w:hRule="atLeast"/>
        </w:trPr>
        <w:tc>
          <w:tcPr>
            <w:tcW w:w="2354" w:type="dxa"/>
            <w:tcBorders>
              <w:bottom w:val="single" w:sz="8" w:space="0" w:color="000000"/>
            </w:tcBorders>
            <w:shd w:color="auto" w:fill="auto" w:val="clear"/>
            <w:vAlign w:val="center"/>
          </w:tcPr>
          <w:p>
            <w:pPr>
              <w:pStyle w:val="Normal"/>
              <w:widowControl w:val="false"/>
              <w:spacing w:before="0" w:after="0"/>
              <w:ind w:left="-13" w:right="221" w:hanging="0"/>
              <w:jc w:val="center"/>
              <w:rPr>
                <w:rFonts w:ascii="Arial" w:hAnsi="Arial" w:eastAsia="Arial" w:cs="Arial"/>
                <w:sz w:val="20"/>
                <w:szCs w:val="20"/>
              </w:rPr>
            </w:pPr>
            <w:r>
              <w:rPr>
                <w:rFonts w:eastAsia="Arial" w:cs="Arial" w:ascii="Arial" w:hAnsi="Arial"/>
                <w:sz w:val="20"/>
                <w:szCs w:val="20"/>
              </w:rPr>
              <w:t>Área núcleo (m²)</w:t>
            </w:r>
          </w:p>
        </w:tc>
        <w:tc>
          <w:tcPr>
            <w:tcW w:w="871" w:type="dxa"/>
            <w:tcBorders>
              <w:bottom w:val="single" w:sz="8" w:space="0" w:color="000000"/>
            </w:tcBorders>
            <w:shd w:color="auto" w:fill="auto" w:val="clear"/>
            <w:vAlign w:val="center"/>
          </w:tcPr>
          <w:p>
            <w:pPr>
              <w:pStyle w:val="Normal"/>
              <w:widowControl w:val="false"/>
              <w:spacing w:before="0" w:after="0"/>
              <w:ind w:left="0" w:hanging="0"/>
              <w:jc w:val="center"/>
              <w:rPr>
                <w:rFonts w:ascii="Arial" w:hAnsi="Arial" w:eastAsia="Arial" w:cs="Arial"/>
                <w:sz w:val="20"/>
                <w:szCs w:val="20"/>
              </w:rPr>
            </w:pPr>
            <w:r>
              <w:rPr>
                <w:rFonts w:eastAsia="Arial" w:cs="Arial" w:ascii="Arial" w:hAnsi="Arial"/>
                <w:sz w:val="20"/>
                <w:szCs w:val="20"/>
              </w:rPr>
              <w:t>0</w:t>
            </w:r>
          </w:p>
        </w:tc>
        <w:tc>
          <w:tcPr>
            <w:tcW w:w="3554" w:type="dxa"/>
            <w:gridSpan w:val="2"/>
            <w:tcBorders>
              <w:bottom w:val="single" w:sz="8" w:space="0" w:color="000000"/>
            </w:tcBorders>
            <w:shd w:color="auto" w:fill="auto" w:val="clear"/>
            <w:vAlign w:val="center"/>
          </w:tcPr>
          <w:p>
            <w:pPr>
              <w:pStyle w:val="Normal"/>
              <w:widowControl w:val="false"/>
              <w:spacing w:before="0" w:after="0"/>
              <w:ind w:left="23" w:hanging="0"/>
              <w:jc w:val="center"/>
              <w:rPr>
                <w:rFonts w:ascii="Arial" w:hAnsi="Arial" w:eastAsia="Arial" w:cs="Arial"/>
                <w:sz w:val="20"/>
                <w:szCs w:val="20"/>
              </w:rPr>
            </w:pPr>
            <w:r>
              <w:rPr>
                <w:rFonts w:eastAsia="Arial" w:cs="Arial" w:ascii="Arial" w:hAnsi="Arial"/>
                <w:sz w:val="20"/>
                <w:szCs w:val="20"/>
              </w:rPr>
              <w:t>500</w:t>
            </w:r>
          </w:p>
        </w:tc>
        <w:tc>
          <w:tcPr>
            <w:tcW w:w="2745" w:type="dxa"/>
            <w:gridSpan w:val="2"/>
            <w:tcBorders>
              <w:bottom w:val="single" w:sz="8" w:space="0" w:color="000000"/>
            </w:tcBorders>
            <w:shd w:color="auto" w:fill="auto" w:val="clear"/>
            <w:vAlign w:val="center"/>
          </w:tcPr>
          <w:p>
            <w:pPr>
              <w:pStyle w:val="Normal"/>
              <w:widowControl w:val="false"/>
              <w:spacing w:before="0" w:after="0"/>
              <w:ind w:left="0" w:hanging="1"/>
              <w:jc w:val="center"/>
              <w:rPr>
                <w:rFonts w:ascii="Arial" w:hAnsi="Arial" w:eastAsia="Arial" w:cs="Arial"/>
                <w:sz w:val="20"/>
                <w:szCs w:val="20"/>
              </w:rPr>
            </w:pPr>
            <w:r>
              <w:rPr>
                <w:rFonts w:eastAsia="Arial" w:cs="Arial" w:ascii="Arial" w:hAnsi="Arial"/>
                <w:sz w:val="20"/>
                <w:szCs w:val="20"/>
              </w:rPr>
              <w:t>1.000</w:t>
            </w:r>
          </w:p>
        </w:tc>
      </w:tr>
    </w:tbl>
    <w:p>
      <w:pPr>
        <w:pStyle w:val="Normal"/>
        <w:ind w:left="-567" w:right="-568" w:hanging="0"/>
        <w:rPr>
          <w:rFonts w:ascii="Arial" w:hAnsi="Arial" w:eastAsia="Arial" w:cs="Arial"/>
        </w:rPr>
      </w:pPr>
      <w:r>
        <w:rPr>
          <w:rFonts w:eastAsia="Arial" w:cs="Arial" w:ascii="Arial" w:hAnsi="Arial"/>
        </w:rPr>
      </w:r>
    </w:p>
    <w:p>
      <w:pPr>
        <w:pStyle w:val="Normal"/>
        <w:ind w:left="-567" w:right="-568" w:hanging="0"/>
        <w:rPr>
          <w:rFonts w:ascii="Arial" w:hAnsi="Arial" w:eastAsia="Arial" w:cs="Arial"/>
        </w:rPr>
      </w:pPr>
      <w:r>
        <w:rPr>
          <w:rFonts w:eastAsia="Arial" w:cs="Arial" w:ascii="Arial" w:hAnsi="Arial"/>
        </w:rPr>
        <w:t>Cada quadrado (25x25 cm) foi pesado para estimar a produção de massa e em seguida foram feitas amostras compostas, com 4 subamostras de cada ponto coletado. A média de produção de matéria verde (MV) e matéria seca (MS) por hectare acumulada a cada ocupação foi calculada dividindo-se a produção total do período pelo número de dias de descanso. As análises estatísticas foram realizadas no R (R Core Team, 2018) usando o pacote lme4. Os tratamentos foram comparados por análise de variância e as médias comparadas por Teste de Tukey, com significância considerada a 5%.</w:t>
      </w:r>
    </w:p>
    <w:p>
      <w:pPr>
        <w:pStyle w:val="Normal"/>
        <w:ind w:left="-567" w:right="-568" w:hanging="0"/>
        <w:rPr>
          <w:rFonts w:ascii="Arial" w:hAnsi="Arial" w:eastAsia="Arial" w:cs="Arial"/>
          <w:highlight w:val="yellow"/>
        </w:rPr>
      </w:pPr>
      <w:r>
        <w:rPr>
          <w:rFonts w:eastAsia="Arial" w:cs="Arial" w:ascii="Arial" w:hAnsi="Arial"/>
          <w:b/>
          <w:color w:val="000000"/>
        </w:rPr>
        <w:t>Resultados e discussões:</w:t>
      </w:r>
      <w:r>
        <w:rPr>
          <w:rFonts w:eastAsia="Arial" w:cs="Arial" w:ascii="Arial" w:hAnsi="Arial"/>
        </w:rPr>
        <w:t xml:space="preserve"> O tratamento PSA apresentou média de 49,3 dias de descanso (Tabela 2), com intervalo de confiança de 45 a 53,5 dias. Por sua vez, o tratamento SSPnu5 registrou uma média de 51,4 dias, com intervalo de confiança de 46,5 a 56,4 dias, enquanto o tratamento SSPnu10 teve média de 50,5 dias, com intervalo de confiança de 45,5 a 55,6 dias. Importante notar que não foram observadas diferenças estatisticamente significativas entre os tratamentos. Também, não foram observadas diferenças significativas entre os tratamentos em relação à produção de forragem acumulada por dia descanso de Matéria Verde por hectare (kg MV.HA</w:t>
      </w:r>
      <w:r>
        <w:rPr>
          <w:rFonts w:eastAsia="Arial" w:cs="Arial" w:ascii="Arial" w:hAnsi="Arial"/>
          <w:vertAlign w:val="superscript"/>
        </w:rPr>
        <w:t>-1)</w:t>
      </w:r>
      <w:r>
        <w:rPr>
          <w:rFonts w:eastAsia="Arial" w:cs="Arial" w:ascii="Arial" w:hAnsi="Arial"/>
        </w:rPr>
        <w:t>. Para o tratamento PSA, a média foi de 86,2 kg/ha, com intervalo de confiança de 72,3 a 100,2 kg/ha, enquanto o tratamento SSPnu5 registrou 77,9 kg/ha, com intervalo de confiança de 61,3 a 94,5 kg/ha, o tratamento SSPnu10 apresentou média de 84,7 kg/ha, com intervalo de confiança de 67,8 a 101,5 kg/ha. Essas produções são condizentes com o tipo de solo e o manejo de baixo insumo externo na pastagem.</w:t>
      </w:r>
    </w:p>
    <w:p>
      <w:pPr>
        <w:pStyle w:val="Normal"/>
        <w:keepNext w:val="true"/>
        <w:pBdr/>
        <w:spacing w:before="0" w:after="0"/>
        <w:ind w:left="-426" w:right="-427" w:hanging="0"/>
        <w:rPr>
          <w:rFonts w:ascii="Arial" w:hAnsi="Arial" w:eastAsia="Arial" w:cs="Arial"/>
          <w:color w:val="000000"/>
        </w:rPr>
      </w:pPr>
      <w:r>
        <w:rPr>
          <w:rFonts w:eastAsia="Arial" w:cs="Arial" w:ascii="Arial" w:hAnsi="Arial"/>
          <w:b/>
          <w:color w:val="000000"/>
        </w:rPr>
        <w:t>Tabela 2 -</w:t>
      </w:r>
      <w:r>
        <w:rPr>
          <w:rFonts w:eastAsia="Arial" w:cs="Arial" w:ascii="Arial" w:hAnsi="Arial"/>
          <w:color w:val="000000"/>
        </w:rPr>
        <w:t xml:space="preserve"> Produção de Matéria Verde (MV), Matéria Seca (MS) acumuladas por dia de descanso em áreas sem árvores (PSA), com 5% (SSPnu5) ou 10% (SSPnu10) de núcleos arbóreos.</w:t>
      </w:r>
    </w:p>
    <w:tbl>
      <w:tblPr>
        <w:tblStyle w:val="a0"/>
        <w:tblW w:w="9495" w:type="dxa"/>
        <w:jc w:val="left"/>
        <w:tblInd w:w="-488" w:type="dxa"/>
        <w:tblLayout w:type="fixed"/>
        <w:tblCellMar>
          <w:top w:w="0" w:type="dxa"/>
          <w:left w:w="108" w:type="dxa"/>
          <w:bottom w:w="0" w:type="dxa"/>
          <w:right w:w="108" w:type="dxa"/>
        </w:tblCellMar>
        <w:tblLook w:firstRow="0" w:noVBand="1" w:lastRow="0" w:firstColumn="0" w:lastColumn="0" w:noHBand="1" w:val="0600"/>
      </w:tblPr>
      <w:tblGrid>
        <w:gridCol w:w="2535"/>
        <w:gridCol w:w="1394"/>
        <w:gridCol w:w="1334"/>
        <w:gridCol w:w="42"/>
        <w:gridCol w:w="1711"/>
        <w:gridCol w:w="1409"/>
        <w:gridCol w:w="1069"/>
      </w:tblGrid>
      <w:tr>
        <w:trPr>
          <w:tblHeader w:val="true"/>
        </w:trPr>
        <w:tc>
          <w:tcPr>
            <w:tcW w:w="2535" w:type="dxa"/>
            <w:tcBorders>
              <w:top w:val="single" w:sz="8" w:space="0" w:color="000000"/>
              <w:bottom w:val="single" w:sz="8" w:space="0" w:color="000000"/>
            </w:tcBorders>
            <w:vAlign w:val="center"/>
          </w:tcPr>
          <w:p>
            <w:pPr>
              <w:pStyle w:val="Normal"/>
              <w:widowControl w:val="false"/>
              <w:spacing w:before="0" w:after="0"/>
              <w:ind w:left="-38" w:right="-38" w:hanging="0"/>
              <w:jc w:val="center"/>
              <w:rPr>
                <w:rFonts w:ascii="Arial" w:hAnsi="Arial" w:eastAsia="Arial" w:cs="Arial"/>
                <w:sz w:val="20"/>
                <w:szCs w:val="20"/>
              </w:rPr>
            </w:pPr>
            <w:r>
              <w:rPr>
                <w:rFonts w:eastAsia="Arial" w:cs="Arial" w:ascii="Arial" w:hAnsi="Arial"/>
                <w:sz w:val="20"/>
                <w:szCs w:val="20"/>
              </w:rPr>
              <w:t>VAR</w:t>
            </w:r>
            <w:bookmarkStart w:id="2" w:name="_GoBack"/>
            <w:bookmarkEnd w:id="2"/>
            <w:r>
              <w:rPr>
                <w:rFonts w:eastAsia="Arial" w:cs="Arial" w:ascii="Arial" w:hAnsi="Arial"/>
                <w:sz w:val="20"/>
                <w:szCs w:val="20"/>
              </w:rPr>
              <w:t>IÁVEIS</w:t>
            </w:r>
          </w:p>
        </w:tc>
        <w:tc>
          <w:tcPr>
            <w:tcW w:w="1394" w:type="dxa"/>
            <w:tcBorders>
              <w:top w:val="single" w:sz="8" w:space="0" w:color="000000"/>
              <w:bottom w:val="single" w:sz="8" w:space="0" w:color="000000"/>
            </w:tcBorders>
            <w:vAlign w:val="center"/>
          </w:tcPr>
          <w:p>
            <w:pPr>
              <w:pStyle w:val="Normal"/>
              <w:widowControl w:val="false"/>
              <w:spacing w:before="0" w:after="0"/>
              <w:ind w:left="-20" w:hanging="0"/>
              <w:jc w:val="center"/>
              <w:rPr>
                <w:rFonts w:ascii="Arial" w:hAnsi="Arial" w:eastAsia="Arial" w:cs="Arial"/>
                <w:sz w:val="20"/>
                <w:szCs w:val="20"/>
              </w:rPr>
            </w:pPr>
            <w:r>
              <w:rPr>
                <w:rFonts w:eastAsia="Arial" w:cs="Arial" w:ascii="Arial" w:hAnsi="Arial"/>
                <w:sz w:val="20"/>
                <w:szCs w:val="20"/>
              </w:rPr>
              <w:t>PSA</w:t>
            </w:r>
          </w:p>
        </w:tc>
        <w:tc>
          <w:tcPr>
            <w:tcW w:w="1334" w:type="dxa"/>
            <w:tcBorders>
              <w:top w:val="single" w:sz="8" w:space="0" w:color="000000"/>
              <w:bottom w:val="single" w:sz="8" w:space="0" w:color="000000"/>
            </w:tcBorders>
            <w:vAlign w:val="center"/>
          </w:tcPr>
          <w:p>
            <w:pPr>
              <w:pStyle w:val="Normal"/>
              <w:widowControl w:val="false"/>
              <w:spacing w:before="0" w:after="0"/>
              <w:ind w:left="3" w:hanging="0"/>
              <w:jc w:val="center"/>
              <w:rPr>
                <w:rFonts w:ascii="Arial" w:hAnsi="Arial" w:eastAsia="Arial" w:cs="Arial"/>
                <w:sz w:val="20"/>
                <w:szCs w:val="20"/>
              </w:rPr>
            </w:pPr>
            <w:r>
              <w:rPr>
                <w:rFonts w:eastAsia="Arial" w:cs="Arial" w:ascii="Arial" w:hAnsi="Arial"/>
                <w:sz w:val="20"/>
                <w:szCs w:val="20"/>
              </w:rPr>
              <w:t>SSPnu5</w:t>
            </w:r>
          </w:p>
        </w:tc>
        <w:tc>
          <w:tcPr>
            <w:tcW w:w="1753" w:type="dxa"/>
            <w:gridSpan w:val="2"/>
            <w:tcBorders>
              <w:top w:val="single" w:sz="8" w:space="0" w:color="000000"/>
              <w:bottom w:val="single" w:sz="8" w:space="0" w:color="000000"/>
            </w:tcBorders>
            <w:vAlign w:val="center"/>
          </w:tcPr>
          <w:p>
            <w:pPr>
              <w:pStyle w:val="Normal"/>
              <w:widowControl w:val="false"/>
              <w:spacing w:before="0" w:after="0"/>
              <w:ind w:left="0" w:right="50" w:hanging="0"/>
              <w:jc w:val="center"/>
              <w:rPr>
                <w:rFonts w:ascii="Arial" w:hAnsi="Arial" w:eastAsia="Arial" w:cs="Arial"/>
                <w:sz w:val="20"/>
                <w:szCs w:val="20"/>
              </w:rPr>
            </w:pPr>
            <w:r>
              <w:rPr>
                <w:rFonts w:eastAsia="Arial" w:cs="Arial" w:ascii="Arial" w:hAnsi="Arial"/>
                <w:sz w:val="20"/>
                <w:szCs w:val="20"/>
              </w:rPr>
              <w:t>SSPnu10</w:t>
            </w:r>
          </w:p>
        </w:tc>
        <w:tc>
          <w:tcPr>
            <w:tcW w:w="1409" w:type="dxa"/>
            <w:tcBorders>
              <w:top w:val="single" w:sz="8" w:space="0" w:color="000000"/>
              <w:bottom w:val="single" w:sz="8" w:space="0" w:color="000000"/>
            </w:tcBorders>
            <w:vAlign w:val="center"/>
          </w:tcPr>
          <w:p>
            <w:pPr>
              <w:pStyle w:val="Normal"/>
              <w:widowControl w:val="false"/>
              <w:spacing w:before="0" w:after="0"/>
              <w:ind w:left="-809" w:right="405" w:firstLine="1066"/>
              <w:jc w:val="center"/>
              <w:rPr>
                <w:rFonts w:ascii="Arial" w:hAnsi="Arial" w:eastAsia="Arial" w:cs="Arial"/>
                <w:sz w:val="20"/>
                <w:szCs w:val="20"/>
              </w:rPr>
            </w:pPr>
            <w:r>
              <w:rPr>
                <w:rFonts w:eastAsia="Arial" w:cs="Arial" w:ascii="Arial" w:hAnsi="Arial"/>
                <w:sz w:val="20"/>
                <w:szCs w:val="20"/>
              </w:rPr>
              <w:t>Erro</w:t>
            </w:r>
          </w:p>
          <w:p>
            <w:pPr>
              <w:pStyle w:val="Normal"/>
              <w:widowControl w:val="false"/>
              <w:spacing w:before="0" w:after="0"/>
              <w:ind w:left="34" w:right="105" w:hanging="0"/>
              <w:jc w:val="center"/>
              <w:rPr>
                <w:rFonts w:ascii="Arial" w:hAnsi="Arial" w:eastAsia="Arial" w:cs="Arial"/>
                <w:sz w:val="20"/>
                <w:szCs w:val="20"/>
              </w:rPr>
            </w:pPr>
            <w:r>
              <w:rPr>
                <w:rFonts w:eastAsia="Arial" w:cs="Arial" w:ascii="Arial" w:hAnsi="Arial"/>
                <w:sz w:val="20"/>
                <w:szCs w:val="20"/>
              </w:rPr>
              <w:t>Padrão</w:t>
            </w:r>
          </w:p>
        </w:tc>
        <w:tc>
          <w:tcPr>
            <w:tcW w:w="1069" w:type="dxa"/>
            <w:tcBorders>
              <w:top w:val="single" w:sz="8" w:space="0" w:color="000000"/>
              <w:bottom w:val="single" w:sz="8" w:space="0" w:color="000000"/>
            </w:tcBorders>
            <w:vAlign w:val="center"/>
          </w:tcPr>
          <w:p>
            <w:pPr>
              <w:pStyle w:val="Normal"/>
              <w:widowControl w:val="false"/>
              <w:spacing w:before="0" w:after="0"/>
              <w:ind w:left="42" w:hanging="0"/>
              <w:jc w:val="center"/>
              <w:rPr>
                <w:rFonts w:ascii="Arial" w:hAnsi="Arial" w:eastAsia="Arial" w:cs="Arial"/>
                <w:sz w:val="20"/>
                <w:szCs w:val="20"/>
              </w:rPr>
            </w:pPr>
            <w:r>
              <w:rPr>
                <w:rFonts w:eastAsia="Arial" w:cs="Arial" w:ascii="Arial" w:hAnsi="Arial"/>
                <w:sz w:val="20"/>
                <w:szCs w:val="20"/>
              </w:rPr>
              <w:t>P</w:t>
            </w:r>
          </w:p>
        </w:tc>
      </w:tr>
      <w:tr>
        <w:trPr>
          <w:tblHeader w:val="true"/>
        </w:trPr>
        <w:tc>
          <w:tcPr>
            <w:tcW w:w="2535" w:type="dxa"/>
            <w:tcBorders/>
          </w:tcPr>
          <w:p>
            <w:pPr>
              <w:pStyle w:val="Normal"/>
              <w:widowControl w:val="false"/>
              <w:spacing w:before="0" w:after="0"/>
              <w:ind w:left="-38" w:hanging="0"/>
              <w:jc w:val="center"/>
              <w:rPr>
                <w:rFonts w:ascii="Arial" w:hAnsi="Arial" w:eastAsia="Arial" w:cs="Arial"/>
                <w:sz w:val="20"/>
                <w:szCs w:val="20"/>
              </w:rPr>
            </w:pPr>
            <w:r>
              <w:rPr>
                <w:rFonts w:eastAsia="Arial" w:cs="Arial" w:ascii="Arial" w:hAnsi="Arial"/>
                <w:sz w:val="20"/>
                <w:szCs w:val="20"/>
              </w:rPr>
              <w:t>Dias de descanso</w:t>
            </w:r>
          </w:p>
        </w:tc>
        <w:tc>
          <w:tcPr>
            <w:tcW w:w="1394" w:type="dxa"/>
            <w:tcBorders/>
            <w:vAlign w:val="center"/>
          </w:tcPr>
          <w:p>
            <w:pPr>
              <w:pStyle w:val="Normal"/>
              <w:widowControl w:val="false"/>
              <w:spacing w:before="0" w:after="0"/>
              <w:ind w:left="0" w:hanging="0"/>
              <w:jc w:val="center"/>
              <w:rPr>
                <w:rFonts w:ascii="Arial" w:hAnsi="Arial" w:eastAsia="Arial" w:cs="Arial"/>
                <w:sz w:val="18"/>
                <w:szCs w:val="18"/>
              </w:rPr>
            </w:pPr>
            <w:r>
              <w:rPr>
                <w:rFonts w:eastAsia="Arial" w:cs="Arial" w:ascii="Arial" w:hAnsi="Arial"/>
                <w:sz w:val="18"/>
                <w:szCs w:val="18"/>
              </w:rPr>
              <w:t>49,3</w:t>
            </w:r>
          </w:p>
        </w:tc>
        <w:tc>
          <w:tcPr>
            <w:tcW w:w="1376" w:type="dxa"/>
            <w:gridSpan w:val="2"/>
            <w:tcBorders/>
            <w:vAlign w:val="center"/>
          </w:tcPr>
          <w:p>
            <w:pPr>
              <w:pStyle w:val="Normal"/>
              <w:widowControl w:val="false"/>
              <w:spacing w:before="0" w:after="0"/>
              <w:ind w:left="3" w:hanging="0"/>
              <w:jc w:val="center"/>
              <w:rPr>
                <w:rFonts w:ascii="Arial" w:hAnsi="Arial" w:eastAsia="Arial" w:cs="Arial"/>
                <w:sz w:val="18"/>
                <w:szCs w:val="18"/>
              </w:rPr>
            </w:pPr>
            <w:r>
              <w:rPr>
                <w:rFonts w:eastAsia="Arial" w:cs="Arial" w:ascii="Arial" w:hAnsi="Arial"/>
                <w:sz w:val="18"/>
                <w:szCs w:val="18"/>
              </w:rPr>
              <w:t>51,4</w:t>
            </w:r>
          </w:p>
        </w:tc>
        <w:tc>
          <w:tcPr>
            <w:tcW w:w="1711" w:type="dxa"/>
            <w:tcBorders/>
            <w:vAlign w:val="center"/>
          </w:tcPr>
          <w:p>
            <w:pPr>
              <w:pStyle w:val="Normal"/>
              <w:widowControl w:val="false"/>
              <w:tabs>
                <w:tab w:val="clear" w:pos="720"/>
                <w:tab w:val="left" w:pos="894" w:leader="none"/>
              </w:tabs>
              <w:spacing w:before="0" w:after="0"/>
              <w:ind w:left="-98" w:right="50" w:hanging="0"/>
              <w:jc w:val="center"/>
              <w:rPr>
                <w:rFonts w:ascii="Arial" w:hAnsi="Arial" w:eastAsia="Arial" w:cs="Arial"/>
                <w:sz w:val="18"/>
                <w:szCs w:val="18"/>
              </w:rPr>
            </w:pPr>
            <w:r>
              <w:rPr>
                <w:rFonts w:eastAsia="Arial" w:cs="Arial" w:ascii="Arial" w:hAnsi="Arial"/>
                <w:sz w:val="18"/>
                <w:szCs w:val="18"/>
              </w:rPr>
              <w:t>50,5</w:t>
            </w:r>
          </w:p>
        </w:tc>
        <w:tc>
          <w:tcPr>
            <w:tcW w:w="1409" w:type="dxa"/>
            <w:vMerge w:val="restart"/>
            <w:tcBorders>
              <w:bottom w:val="single" w:sz="8" w:space="0" w:color="000000"/>
            </w:tcBorders>
            <w:vAlign w:val="center"/>
          </w:tcPr>
          <w:p>
            <w:pPr>
              <w:pStyle w:val="Normal"/>
              <w:widowControl w:val="false"/>
              <w:spacing w:before="0" w:after="0"/>
              <w:ind w:left="-16" w:hanging="0"/>
              <w:jc w:val="center"/>
              <w:rPr>
                <w:rFonts w:ascii="Arial" w:hAnsi="Arial" w:eastAsia="Arial" w:cs="Arial"/>
                <w:sz w:val="18"/>
                <w:szCs w:val="18"/>
              </w:rPr>
            </w:pPr>
            <w:r>
              <w:rPr>
                <w:rFonts w:eastAsia="Arial" w:cs="Arial" w:ascii="Arial" w:hAnsi="Arial"/>
                <w:sz w:val="18"/>
                <w:szCs w:val="18"/>
              </w:rPr>
              <w:t>2,45</w:t>
            </w:r>
          </w:p>
        </w:tc>
        <w:tc>
          <w:tcPr>
            <w:tcW w:w="1069" w:type="dxa"/>
            <w:vMerge w:val="restart"/>
            <w:tcBorders>
              <w:bottom w:val="single" w:sz="8" w:space="0" w:color="000000"/>
            </w:tcBorders>
            <w:vAlign w:val="center"/>
          </w:tcPr>
          <w:p>
            <w:pPr>
              <w:pStyle w:val="Normal"/>
              <w:widowControl w:val="false"/>
              <w:tabs>
                <w:tab w:val="clear" w:pos="720"/>
                <w:tab w:val="left" w:pos="-100" w:leader="none"/>
              </w:tabs>
              <w:spacing w:before="0" w:after="0"/>
              <w:ind w:left="0" w:hanging="0"/>
              <w:jc w:val="center"/>
              <w:rPr>
                <w:rFonts w:ascii="Arial" w:hAnsi="Arial" w:eastAsia="Arial" w:cs="Arial"/>
                <w:sz w:val="18"/>
                <w:szCs w:val="18"/>
              </w:rPr>
            </w:pPr>
            <w:r>
              <w:rPr>
                <w:rFonts w:eastAsia="Arial" w:cs="Arial" w:ascii="Arial" w:hAnsi="Arial"/>
                <w:sz w:val="18"/>
                <w:szCs w:val="18"/>
              </w:rPr>
              <w:t>0,72</w:t>
            </w:r>
          </w:p>
        </w:tc>
      </w:tr>
      <w:tr>
        <w:trPr>
          <w:tblHeader w:val="true"/>
        </w:trPr>
        <w:tc>
          <w:tcPr>
            <w:tcW w:w="2535" w:type="dxa"/>
            <w:tcBorders>
              <w:bottom w:val="single" w:sz="8" w:space="0" w:color="000000"/>
            </w:tcBorders>
          </w:tcPr>
          <w:p>
            <w:pPr>
              <w:pStyle w:val="Normal"/>
              <w:widowControl w:val="false"/>
              <w:spacing w:before="0" w:after="0"/>
              <w:ind w:left="-38" w:right="-38" w:hanging="0"/>
              <w:jc w:val="left"/>
              <w:rPr>
                <w:rFonts w:ascii="Arial" w:hAnsi="Arial" w:eastAsia="Arial" w:cs="Arial"/>
                <w:sz w:val="20"/>
                <w:szCs w:val="20"/>
              </w:rPr>
            </w:pPr>
            <w:r>
              <w:rPr>
                <w:rFonts w:eastAsia="Arial" w:cs="Arial" w:ascii="Arial" w:hAnsi="Arial"/>
                <w:sz w:val="20"/>
                <w:szCs w:val="20"/>
              </w:rPr>
              <w:t>Intervalo de confiança</w:t>
            </w:r>
          </w:p>
        </w:tc>
        <w:tc>
          <w:tcPr>
            <w:tcW w:w="1394" w:type="dxa"/>
            <w:tcBorders>
              <w:bottom w:val="single" w:sz="8" w:space="0" w:color="000000"/>
            </w:tcBorders>
            <w:vAlign w:val="center"/>
          </w:tcPr>
          <w:p>
            <w:pPr>
              <w:pStyle w:val="Normal"/>
              <w:widowControl w:val="false"/>
              <w:spacing w:before="0" w:after="0"/>
              <w:ind w:left="0" w:hanging="0"/>
              <w:jc w:val="center"/>
              <w:rPr>
                <w:rFonts w:ascii="Arial" w:hAnsi="Arial" w:eastAsia="Arial" w:cs="Arial"/>
                <w:sz w:val="18"/>
                <w:szCs w:val="18"/>
              </w:rPr>
            </w:pPr>
            <w:r>
              <w:rPr>
                <w:rFonts w:eastAsia="Arial" w:cs="Arial" w:ascii="Arial" w:hAnsi="Arial"/>
                <w:sz w:val="18"/>
                <w:szCs w:val="18"/>
              </w:rPr>
              <w:t>45-53,5</w:t>
            </w:r>
          </w:p>
        </w:tc>
        <w:tc>
          <w:tcPr>
            <w:tcW w:w="1334" w:type="dxa"/>
            <w:tcBorders>
              <w:bottom w:val="single" w:sz="8" w:space="0" w:color="000000"/>
            </w:tcBorders>
            <w:vAlign w:val="center"/>
          </w:tcPr>
          <w:p>
            <w:pPr>
              <w:pStyle w:val="Normal"/>
              <w:widowControl w:val="false"/>
              <w:spacing w:before="0" w:after="0"/>
              <w:ind w:left="3" w:hanging="0"/>
              <w:jc w:val="center"/>
              <w:rPr>
                <w:rFonts w:ascii="Arial" w:hAnsi="Arial" w:eastAsia="Arial" w:cs="Arial"/>
                <w:sz w:val="18"/>
                <w:szCs w:val="18"/>
              </w:rPr>
            </w:pPr>
            <w:r>
              <w:rPr>
                <w:rFonts w:eastAsia="Arial" w:cs="Arial" w:ascii="Arial" w:hAnsi="Arial"/>
                <w:sz w:val="18"/>
                <w:szCs w:val="18"/>
              </w:rPr>
              <w:t>46,5-56,4</w:t>
            </w:r>
          </w:p>
        </w:tc>
        <w:tc>
          <w:tcPr>
            <w:tcW w:w="1753" w:type="dxa"/>
            <w:gridSpan w:val="2"/>
            <w:tcBorders>
              <w:bottom w:val="single" w:sz="8" w:space="0" w:color="000000"/>
            </w:tcBorders>
            <w:vAlign w:val="center"/>
          </w:tcPr>
          <w:p>
            <w:pPr>
              <w:pStyle w:val="Normal"/>
              <w:widowControl w:val="false"/>
              <w:spacing w:before="0" w:after="0"/>
              <w:ind w:left="0" w:right="50" w:hanging="0"/>
              <w:jc w:val="center"/>
              <w:rPr>
                <w:rFonts w:ascii="Arial" w:hAnsi="Arial" w:eastAsia="Arial" w:cs="Arial"/>
                <w:sz w:val="18"/>
                <w:szCs w:val="18"/>
              </w:rPr>
            </w:pPr>
            <w:r>
              <w:rPr>
                <w:rFonts w:eastAsia="Arial" w:cs="Arial" w:ascii="Arial" w:hAnsi="Arial"/>
                <w:sz w:val="18"/>
                <w:szCs w:val="18"/>
              </w:rPr>
              <w:t>45,5-55,6</w:t>
            </w:r>
          </w:p>
        </w:tc>
        <w:tc>
          <w:tcPr>
            <w:tcW w:w="1409" w:type="dxa"/>
            <w:vMerge w:val="continue"/>
            <w:tcBorders>
              <w:bottom w:val="single" w:sz="8" w:space="0" w:color="000000"/>
            </w:tcBorders>
            <w:vAlign w:val="center"/>
          </w:tcPr>
          <w:p>
            <w:pPr>
              <w:pStyle w:val="Normal"/>
              <w:widowControl w:val="false"/>
              <w:spacing w:before="0" w:after="0"/>
              <w:ind w:left="-494" w:right="405" w:hanging="0"/>
              <w:jc w:val="center"/>
              <w:rPr>
                <w:rFonts w:ascii="Arial" w:hAnsi="Arial" w:eastAsia="Arial" w:cs="Arial"/>
                <w:sz w:val="18"/>
                <w:szCs w:val="18"/>
              </w:rPr>
            </w:pPr>
            <w:r>
              <w:rPr>
                <w:rFonts w:eastAsia="Arial" w:cs="Arial" w:ascii="Arial" w:hAnsi="Arial"/>
                <w:sz w:val="18"/>
                <w:szCs w:val="18"/>
              </w:rPr>
            </w:r>
          </w:p>
        </w:tc>
        <w:tc>
          <w:tcPr>
            <w:tcW w:w="1069" w:type="dxa"/>
            <w:vMerge w:val="continue"/>
            <w:tcBorders>
              <w:bottom w:val="single" w:sz="8" w:space="0" w:color="000000"/>
            </w:tcBorders>
            <w:vAlign w:val="center"/>
          </w:tcPr>
          <w:p>
            <w:pPr>
              <w:pStyle w:val="Normal"/>
              <w:widowControl w:val="false"/>
              <w:spacing w:before="0" w:after="0"/>
              <w:ind w:left="-494" w:right="405" w:hanging="0"/>
              <w:jc w:val="center"/>
              <w:rPr>
                <w:rFonts w:ascii="Arial" w:hAnsi="Arial" w:eastAsia="Arial" w:cs="Arial"/>
                <w:sz w:val="18"/>
                <w:szCs w:val="18"/>
              </w:rPr>
            </w:pPr>
            <w:r>
              <w:rPr>
                <w:rFonts w:eastAsia="Arial" w:cs="Arial" w:ascii="Arial" w:hAnsi="Arial"/>
                <w:sz w:val="18"/>
                <w:szCs w:val="18"/>
              </w:rPr>
            </w:r>
          </w:p>
        </w:tc>
      </w:tr>
      <w:tr>
        <w:trPr>
          <w:tblHeader w:val="true"/>
        </w:trPr>
        <w:tc>
          <w:tcPr>
            <w:tcW w:w="2535" w:type="dxa"/>
            <w:tcBorders/>
          </w:tcPr>
          <w:p>
            <w:pPr>
              <w:pStyle w:val="Normal"/>
              <w:widowControl w:val="false"/>
              <w:spacing w:before="0" w:after="0"/>
              <w:ind w:left="-38" w:right="104" w:hanging="0"/>
              <w:jc w:val="left"/>
              <w:rPr>
                <w:rFonts w:ascii="Arial" w:hAnsi="Arial" w:eastAsia="Arial" w:cs="Arial"/>
                <w:sz w:val="20"/>
                <w:szCs w:val="20"/>
              </w:rPr>
            </w:pPr>
            <w:r>
              <w:rPr>
                <w:rFonts w:eastAsia="Arial" w:cs="Arial" w:ascii="Arial" w:hAnsi="Arial"/>
                <w:sz w:val="20"/>
                <w:szCs w:val="20"/>
              </w:rPr>
              <w:t xml:space="preserve">          </w:t>
            </w:r>
            <w:r>
              <w:rPr>
                <w:rFonts w:eastAsia="Arial" w:cs="Arial" w:ascii="Arial" w:hAnsi="Arial"/>
                <w:sz w:val="20"/>
                <w:szCs w:val="20"/>
              </w:rPr>
              <w:t>MV.HA</w:t>
            </w:r>
            <w:r>
              <w:rPr>
                <w:rFonts w:eastAsia="Arial" w:cs="Arial" w:ascii="Arial" w:hAnsi="Arial"/>
                <w:sz w:val="20"/>
                <w:szCs w:val="20"/>
                <w:vertAlign w:val="superscript"/>
              </w:rPr>
              <w:t>-1</w:t>
            </w:r>
            <w:r>
              <w:rPr>
                <w:rFonts w:eastAsia="Arial" w:cs="Arial" w:ascii="Arial" w:hAnsi="Arial"/>
                <w:sz w:val="20"/>
                <w:szCs w:val="20"/>
              </w:rPr>
              <w:t>, kg</w:t>
            </w:r>
          </w:p>
        </w:tc>
        <w:tc>
          <w:tcPr>
            <w:tcW w:w="1394" w:type="dxa"/>
            <w:tcBorders/>
            <w:vAlign w:val="center"/>
          </w:tcPr>
          <w:p>
            <w:pPr>
              <w:pStyle w:val="Normal"/>
              <w:widowControl w:val="false"/>
              <w:spacing w:before="0" w:after="0"/>
              <w:ind w:left="0" w:hanging="0"/>
              <w:jc w:val="center"/>
              <w:rPr>
                <w:rFonts w:ascii="Arial" w:hAnsi="Arial" w:eastAsia="Arial" w:cs="Arial"/>
                <w:sz w:val="18"/>
                <w:szCs w:val="18"/>
              </w:rPr>
            </w:pPr>
            <w:r>
              <w:rPr>
                <w:rFonts w:eastAsia="Arial" w:cs="Arial" w:ascii="Arial" w:hAnsi="Arial"/>
                <w:sz w:val="18"/>
                <w:szCs w:val="18"/>
              </w:rPr>
              <w:t>86,2</w:t>
            </w:r>
          </w:p>
        </w:tc>
        <w:tc>
          <w:tcPr>
            <w:tcW w:w="1334" w:type="dxa"/>
            <w:tcBorders/>
            <w:vAlign w:val="center"/>
          </w:tcPr>
          <w:p>
            <w:pPr>
              <w:pStyle w:val="Normal"/>
              <w:widowControl w:val="false"/>
              <w:spacing w:before="0" w:after="0"/>
              <w:ind w:left="3" w:hanging="0"/>
              <w:jc w:val="center"/>
              <w:rPr>
                <w:rFonts w:ascii="Arial" w:hAnsi="Arial" w:eastAsia="Arial" w:cs="Arial"/>
                <w:sz w:val="18"/>
                <w:szCs w:val="18"/>
              </w:rPr>
            </w:pPr>
            <w:r>
              <w:rPr>
                <w:rFonts w:eastAsia="Arial" w:cs="Arial" w:ascii="Arial" w:hAnsi="Arial"/>
                <w:sz w:val="18"/>
                <w:szCs w:val="18"/>
              </w:rPr>
              <w:t>77,9</w:t>
            </w:r>
          </w:p>
        </w:tc>
        <w:tc>
          <w:tcPr>
            <w:tcW w:w="1753" w:type="dxa"/>
            <w:gridSpan w:val="2"/>
            <w:tcBorders/>
            <w:vAlign w:val="center"/>
          </w:tcPr>
          <w:p>
            <w:pPr>
              <w:pStyle w:val="Normal"/>
              <w:widowControl w:val="false"/>
              <w:tabs>
                <w:tab w:val="clear" w:pos="720"/>
                <w:tab w:val="left" w:pos="795" w:leader="none"/>
              </w:tabs>
              <w:spacing w:before="0" w:after="0"/>
              <w:ind w:left="0" w:right="50" w:hanging="0"/>
              <w:jc w:val="center"/>
              <w:rPr>
                <w:rFonts w:ascii="Arial" w:hAnsi="Arial" w:eastAsia="Arial" w:cs="Arial"/>
                <w:sz w:val="18"/>
                <w:szCs w:val="18"/>
              </w:rPr>
            </w:pPr>
            <w:r>
              <w:rPr>
                <w:rFonts w:eastAsia="Arial" w:cs="Arial" w:ascii="Arial" w:hAnsi="Arial"/>
                <w:sz w:val="18"/>
                <w:szCs w:val="18"/>
              </w:rPr>
              <w:t>84,7</w:t>
            </w:r>
          </w:p>
        </w:tc>
        <w:tc>
          <w:tcPr>
            <w:tcW w:w="1409" w:type="dxa"/>
            <w:vMerge w:val="restart"/>
            <w:tcBorders>
              <w:bottom w:val="single" w:sz="8" w:space="0" w:color="000000"/>
            </w:tcBorders>
            <w:vAlign w:val="center"/>
          </w:tcPr>
          <w:p>
            <w:pPr>
              <w:pStyle w:val="Normal"/>
              <w:widowControl w:val="false"/>
              <w:spacing w:before="0" w:after="0"/>
              <w:ind w:left="-16" w:hanging="0"/>
              <w:jc w:val="center"/>
              <w:rPr>
                <w:rFonts w:ascii="Arial" w:hAnsi="Arial" w:eastAsia="Arial" w:cs="Arial"/>
                <w:sz w:val="18"/>
                <w:szCs w:val="18"/>
              </w:rPr>
            </w:pPr>
            <w:r>
              <w:rPr>
                <w:rFonts w:eastAsia="Arial" w:cs="Arial" w:ascii="Arial" w:hAnsi="Arial"/>
                <w:sz w:val="18"/>
                <w:szCs w:val="18"/>
              </w:rPr>
              <w:t>8,21</w:t>
            </w:r>
          </w:p>
        </w:tc>
        <w:tc>
          <w:tcPr>
            <w:tcW w:w="1069" w:type="dxa"/>
            <w:vMerge w:val="restart"/>
            <w:tcBorders>
              <w:bottom w:val="single" w:sz="8" w:space="0" w:color="000000"/>
            </w:tcBorders>
            <w:vAlign w:val="center"/>
          </w:tcPr>
          <w:p>
            <w:pPr>
              <w:pStyle w:val="Normal"/>
              <w:widowControl w:val="false"/>
              <w:spacing w:before="0" w:after="0"/>
              <w:ind w:left="0" w:hanging="0"/>
              <w:jc w:val="center"/>
              <w:rPr>
                <w:rFonts w:ascii="Arial" w:hAnsi="Arial" w:eastAsia="Arial" w:cs="Arial"/>
                <w:sz w:val="18"/>
                <w:szCs w:val="18"/>
              </w:rPr>
            </w:pPr>
            <w:r>
              <w:rPr>
                <w:rFonts w:eastAsia="Arial" w:cs="Arial" w:ascii="Arial" w:hAnsi="Arial"/>
                <w:sz w:val="18"/>
                <w:szCs w:val="18"/>
              </w:rPr>
              <w:t>0,68</w:t>
            </w:r>
          </w:p>
        </w:tc>
      </w:tr>
      <w:tr>
        <w:trPr>
          <w:tblHeader w:val="true"/>
        </w:trPr>
        <w:tc>
          <w:tcPr>
            <w:tcW w:w="2535" w:type="dxa"/>
            <w:tcBorders>
              <w:bottom w:val="single" w:sz="8" w:space="0" w:color="000000"/>
            </w:tcBorders>
          </w:tcPr>
          <w:p>
            <w:pPr>
              <w:pStyle w:val="Normal"/>
              <w:widowControl w:val="false"/>
              <w:spacing w:before="0" w:after="0"/>
              <w:ind w:left="-38" w:right="148" w:hanging="0"/>
              <w:jc w:val="left"/>
              <w:rPr>
                <w:rFonts w:ascii="Arial" w:hAnsi="Arial" w:eastAsia="Arial" w:cs="Arial"/>
                <w:sz w:val="20"/>
                <w:szCs w:val="20"/>
              </w:rPr>
            </w:pPr>
            <w:r>
              <w:rPr>
                <w:rFonts w:eastAsia="Arial" w:cs="Arial" w:ascii="Arial" w:hAnsi="Arial"/>
                <w:sz w:val="20"/>
                <w:szCs w:val="20"/>
              </w:rPr>
              <w:t>Intervalo de confiança</w:t>
            </w:r>
          </w:p>
        </w:tc>
        <w:tc>
          <w:tcPr>
            <w:tcW w:w="1394" w:type="dxa"/>
            <w:tcBorders>
              <w:bottom w:val="single" w:sz="8" w:space="0" w:color="000000"/>
            </w:tcBorders>
            <w:vAlign w:val="center"/>
          </w:tcPr>
          <w:p>
            <w:pPr>
              <w:pStyle w:val="Normal"/>
              <w:widowControl w:val="false"/>
              <w:spacing w:before="0" w:after="0"/>
              <w:ind w:left="0" w:hanging="0"/>
              <w:jc w:val="center"/>
              <w:rPr>
                <w:rFonts w:ascii="Arial" w:hAnsi="Arial" w:eastAsia="Arial" w:cs="Arial"/>
                <w:sz w:val="18"/>
                <w:szCs w:val="18"/>
              </w:rPr>
            </w:pPr>
            <w:r>
              <w:rPr>
                <w:rFonts w:eastAsia="Arial" w:cs="Arial" w:ascii="Arial" w:hAnsi="Arial"/>
                <w:sz w:val="18"/>
                <w:szCs w:val="18"/>
              </w:rPr>
              <w:t>72,3-100,2</w:t>
            </w:r>
          </w:p>
        </w:tc>
        <w:tc>
          <w:tcPr>
            <w:tcW w:w="1334" w:type="dxa"/>
            <w:tcBorders>
              <w:bottom w:val="single" w:sz="8" w:space="0" w:color="000000"/>
            </w:tcBorders>
            <w:vAlign w:val="center"/>
          </w:tcPr>
          <w:p>
            <w:pPr>
              <w:pStyle w:val="Normal"/>
              <w:widowControl w:val="false"/>
              <w:spacing w:before="0" w:after="0"/>
              <w:ind w:left="0" w:hanging="0"/>
              <w:jc w:val="center"/>
              <w:rPr>
                <w:rFonts w:ascii="Arial" w:hAnsi="Arial" w:eastAsia="Arial" w:cs="Arial"/>
                <w:sz w:val="18"/>
                <w:szCs w:val="18"/>
              </w:rPr>
            </w:pPr>
            <w:r>
              <w:rPr>
                <w:rFonts w:eastAsia="Arial" w:cs="Arial" w:ascii="Arial" w:hAnsi="Arial"/>
                <w:sz w:val="18"/>
                <w:szCs w:val="18"/>
              </w:rPr>
              <w:t>61,3-94,5</w:t>
            </w:r>
          </w:p>
        </w:tc>
        <w:tc>
          <w:tcPr>
            <w:tcW w:w="1753" w:type="dxa"/>
            <w:gridSpan w:val="2"/>
            <w:tcBorders>
              <w:bottom w:val="single" w:sz="8" w:space="0" w:color="000000"/>
            </w:tcBorders>
            <w:vAlign w:val="center"/>
          </w:tcPr>
          <w:p>
            <w:pPr>
              <w:pStyle w:val="Normal"/>
              <w:widowControl w:val="false"/>
              <w:spacing w:before="0" w:after="0"/>
              <w:ind w:left="0" w:right="50" w:hanging="0"/>
              <w:jc w:val="center"/>
              <w:rPr>
                <w:rFonts w:ascii="Arial" w:hAnsi="Arial" w:eastAsia="Arial" w:cs="Arial"/>
                <w:sz w:val="18"/>
                <w:szCs w:val="18"/>
              </w:rPr>
            </w:pPr>
            <w:r>
              <w:rPr>
                <w:rFonts w:eastAsia="Arial" w:cs="Arial" w:ascii="Arial" w:hAnsi="Arial"/>
                <w:sz w:val="18"/>
                <w:szCs w:val="18"/>
              </w:rPr>
              <w:t>67,8-101,5</w:t>
            </w:r>
          </w:p>
        </w:tc>
        <w:tc>
          <w:tcPr>
            <w:tcW w:w="1409" w:type="dxa"/>
            <w:vMerge w:val="continue"/>
            <w:tcBorders>
              <w:bottom w:val="single" w:sz="8" w:space="0" w:color="000000"/>
            </w:tcBorders>
            <w:vAlign w:val="center"/>
          </w:tcPr>
          <w:p>
            <w:pPr>
              <w:pStyle w:val="Normal"/>
              <w:widowControl w:val="false"/>
              <w:spacing w:before="0" w:after="0"/>
              <w:ind w:left="-494" w:right="405" w:hanging="0"/>
              <w:jc w:val="center"/>
              <w:rPr>
                <w:rFonts w:ascii="Arial" w:hAnsi="Arial" w:eastAsia="Arial" w:cs="Arial"/>
                <w:sz w:val="18"/>
                <w:szCs w:val="18"/>
              </w:rPr>
            </w:pPr>
            <w:r>
              <w:rPr>
                <w:rFonts w:eastAsia="Arial" w:cs="Arial" w:ascii="Arial" w:hAnsi="Arial"/>
                <w:sz w:val="18"/>
                <w:szCs w:val="18"/>
              </w:rPr>
            </w:r>
          </w:p>
        </w:tc>
        <w:tc>
          <w:tcPr>
            <w:tcW w:w="1069" w:type="dxa"/>
            <w:vMerge w:val="continue"/>
            <w:tcBorders>
              <w:bottom w:val="single" w:sz="8" w:space="0" w:color="000000"/>
            </w:tcBorders>
            <w:vAlign w:val="center"/>
          </w:tcPr>
          <w:p>
            <w:pPr>
              <w:pStyle w:val="Normal"/>
              <w:widowControl w:val="false"/>
              <w:spacing w:before="0" w:after="0"/>
              <w:ind w:left="-494" w:right="405" w:hanging="0"/>
              <w:jc w:val="center"/>
              <w:rPr>
                <w:rFonts w:ascii="Arial" w:hAnsi="Arial" w:eastAsia="Arial" w:cs="Arial"/>
                <w:sz w:val="18"/>
                <w:szCs w:val="18"/>
              </w:rPr>
            </w:pPr>
            <w:r>
              <w:rPr>
                <w:rFonts w:eastAsia="Arial" w:cs="Arial" w:ascii="Arial" w:hAnsi="Arial"/>
                <w:sz w:val="18"/>
                <w:szCs w:val="18"/>
              </w:rPr>
            </w:r>
          </w:p>
        </w:tc>
      </w:tr>
      <w:tr>
        <w:trPr>
          <w:tblHeader w:val="true"/>
          <w:trHeight w:val="214" w:hRule="atLeast"/>
        </w:trPr>
        <w:tc>
          <w:tcPr>
            <w:tcW w:w="2535" w:type="dxa"/>
            <w:tcBorders/>
          </w:tcPr>
          <w:p>
            <w:pPr>
              <w:pStyle w:val="Normal"/>
              <w:widowControl w:val="false"/>
              <w:spacing w:before="0" w:after="0"/>
              <w:ind w:left="-38" w:right="104" w:hanging="0"/>
              <w:jc w:val="left"/>
              <w:rPr>
                <w:rFonts w:ascii="Arial" w:hAnsi="Arial" w:eastAsia="Arial" w:cs="Arial"/>
                <w:sz w:val="20"/>
                <w:szCs w:val="20"/>
              </w:rPr>
            </w:pPr>
            <w:r>
              <w:rPr>
                <w:rFonts w:eastAsia="Arial" w:cs="Arial" w:ascii="Arial" w:hAnsi="Arial"/>
                <w:sz w:val="20"/>
                <w:szCs w:val="20"/>
              </w:rPr>
              <w:t xml:space="preserve">        </w:t>
            </w:r>
            <w:r>
              <w:rPr>
                <w:rFonts w:eastAsia="Arial" w:cs="Arial" w:ascii="Arial" w:hAnsi="Arial"/>
                <w:sz w:val="20"/>
                <w:szCs w:val="20"/>
              </w:rPr>
              <w:t>MS.HA</w:t>
            </w:r>
            <w:r>
              <w:rPr>
                <w:rFonts w:eastAsia="Arial" w:cs="Arial" w:ascii="Arial" w:hAnsi="Arial"/>
                <w:sz w:val="20"/>
                <w:szCs w:val="20"/>
                <w:vertAlign w:val="superscript"/>
              </w:rPr>
              <w:t>-1</w:t>
            </w:r>
            <w:r>
              <w:rPr>
                <w:rFonts w:eastAsia="Arial" w:cs="Arial" w:ascii="Arial" w:hAnsi="Arial"/>
                <w:sz w:val="20"/>
                <w:szCs w:val="20"/>
              </w:rPr>
              <w:t>, kg</w:t>
            </w:r>
          </w:p>
        </w:tc>
        <w:tc>
          <w:tcPr>
            <w:tcW w:w="1394" w:type="dxa"/>
            <w:tcBorders/>
            <w:vAlign w:val="center"/>
          </w:tcPr>
          <w:p>
            <w:pPr>
              <w:pStyle w:val="Normal"/>
              <w:widowControl w:val="false"/>
              <w:tabs>
                <w:tab w:val="clear" w:pos="720"/>
                <w:tab w:val="left" w:pos="405" w:leader="none"/>
              </w:tabs>
              <w:spacing w:before="0" w:after="0"/>
              <w:ind w:left="-20" w:hanging="0"/>
              <w:jc w:val="center"/>
              <w:rPr>
                <w:rFonts w:ascii="Arial" w:hAnsi="Arial" w:eastAsia="Arial" w:cs="Arial"/>
                <w:sz w:val="18"/>
                <w:szCs w:val="18"/>
              </w:rPr>
            </w:pPr>
            <w:r>
              <w:rPr>
                <w:rFonts w:eastAsia="Arial" w:cs="Arial" w:ascii="Arial" w:hAnsi="Arial"/>
                <w:sz w:val="18"/>
                <w:szCs w:val="18"/>
              </w:rPr>
              <w:t>16,8b</w:t>
            </w:r>
          </w:p>
        </w:tc>
        <w:tc>
          <w:tcPr>
            <w:tcW w:w="1334" w:type="dxa"/>
            <w:tcBorders/>
            <w:vAlign w:val="center"/>
          </w:tcPr>
          <w:p>
            <w:pPr>
              <w:pStyle w:val="Normal"/>
              <w:widowControl w:val="false"/>
              <w:spacing w:before="0" w:after="0"/>
              <w:ind w:left="0" w:hanging="0"/>
              <w:jc w:val="center"/>
              <w:rPr>
                <w:rFonts w:ascii="Arial" w:hAnsi="Arial" w:eastAsia="Arial" w:cs="Arial"/>
                <w:sz w:val="18"/>
                <w:szCs w:val="18"/>
              </w:rPr>
            </w:pPr>
            <w:r>
              <w:rPr>
                <w:rFonts w:eastAsia="Arial" w:cs="Arial" w:ascii="Arial" w:hAnsi="Arial"/>
                <w:sz w:val="18"/>
                <w:szCs w:val="18"/>
              </w:rPr>
              <w:t>21,6a</w:t>
            </w:r>
          </w:p>
        </w:tc>
        <w:tc>
          <w:tcPr>
            <w:tcW w:w="1753" w:type="dxa"/>
            <w:gridSpan w:val="2"/>
            <w:tcBorders/>
            <w:vAlign w:val="center"/>
          </w:tcPr>
          <w:p>
            <w:pPr>
              <w:pStyle w:val="Normal"/>
              <w:widowControl w:val="false"/>
              <w:spacing w:before="0" w:after="0"/>
              <w:ind w:left="0" w:right="50" w:hanging="0"/>
              <w:jc w:val="center"/>
              <w:rPr>
                <w:rFonts w:ascii="Arial" w:hAnsi="Arial" w:eastAsia="Arial" w:cs="Arial"/>
                <w:sz w:val="18"/>
                <w:szCs w:val="18"/>
              </w:rPr>
            </w:pPr>
            <w:r>
              <w:rPr>
                <w:rFonts w:eastAsia="Arial" w:cs="Arial" w:ascii="Arial" w:hAnsi="Arial"/>
                <w:sz w:val="18"/>
                <w:szCs w:val="18"/>
              </w:rPr>
              <w:t>15b</w:t>
            </w:r>
          </w:p>
        </w:tc>
        <w:tc>
          <w:tcPr>
            <w:tcW w:w="1409" w:type="dxa"/>
            <w:vMerge w:val="restart"/>
            <w:tcBorders>
              <w:bottom w:val="single" w:sz="8" w:space="0" w:color="000000"/>
            </w:tcBorders>
            <w:vAlign w:val="center"/>
          </w:tcPr>
          <w:p>
            <w:pPr>
              <w:pStyle w:val="Normal"/>
              <w:widowControl w:val="false"/>
              <w:spacing w:before="0" w:after="0"/>
              <w:ind w:left="-16" w:hanging="0"/>
              <w:jc w:val="center"/>
              <w:rPr>
                <w:rFonts w:ascii="Arial" w:hAnsi="Arial" w:eastAsia="Arial" w:cs="Arial"/>
                <w:sz w:val="18"/>
                <w:szCs w:val="18"/>
              </w:rPr>
            </w:pPr>
            <w:r>
              <w:rPr>
                <w:rFonts w:eastAsia="Arial" w:cs="Arial" w:ascii="Arial" w:hAnsi="Arial"/>
                <w:sz w:val="18"/>
                <w:szCs w:val="18"/>
              </w:rPr>
              <w:t>12,32</w:t>
            </w:r>
          </w:p>
        </w:tc>
        <w:tc>
          <w:tcPr>
            <w:tcW w:w="1069" w:type="dxa"/>
            <w:vMerge w:val="restart"/>
            <w:tcBorders>
              <w:bottom w:val="single" w:sz="8" w:space="0" w:color="000000"/>
            </w:tcBorders>
            <w:vAlign w:val="center"/>
          </w:tcPr>
          <w:p>
            <w:pPr>
              <w:pStyle w:val="Normal"/>
              <w:widowControl w:val="false"/>
              <w:spacing w:before="0" w:after="0"/>
              <w:ind w:left="42" w:hanging="0"/>
              <w:jc w:val="center"/>
              <w:rPr>
                <w:rFonts w:ascii="Arial" w:hAnsi="Arial" w:eastAsia="Arial" w:cs="Arial"/>
                <w:sz w:val="18"/>
                <w:szCs w:val="18"/>
              </w:rPr>
            </w:pPr>
            <w:r>
              <w:rPr>
                <w:rFonts w:eastAsia="Arial" w:cs="Arial" w:ascii="Arial" w:hAnsi="Arial"/>
                <w:sz w:val="18"/>
                <w:szCs w:val="18"/>
              </w:rPr>
              <w:t>&lt;0,01</w:t>
            </w:r>
          </w:p>
        </w:tc>
      </w:tr>
      <w:tr>
        <w:trPr>
          <w:tblHeader w:val="true"/>
        </w:trPr>
        <w:tc>
          <w:tcPr>
            <w:tcW w:w="2535" w:type="dxa"/>
            <w:tcBorders>
              <w:bottom w:val="single" w:sz="8" w:space="0" w:color="000000"/>
            </w:tcBorders>
          </w:tcPr>
          <w:p>
            <w:pPr>
              <w:pStyle w:val="Normal"/>
              <w:widowControl w:val="false"/>
              <w:spacing w:before="0" w:after="0"/>
              <w:ind w:left="-38" w:right="7" w:hanging="0"/>
              <w:jc w:val="left"/>
              <w:rPr>
                <w:rFonts w:ascii="Arial" w:hAnsi="Arial" w:eastAsia="Arial" w:cs="Arial"/>
                <w:sz w:val="20"/>
                <w:szCs w:val="20"/>
              </w:rPr>
            </w:pPr>
            <w:r>
              <w:rPr>
                <w:rFonts w:eastAsia="Arial" w:cs="Arial" w:ascii="Arial" w:hAnsi="Arial"/>
                <w:sz w:val="20"/>
                <w:szCs w:val="20"/>
              </w:rPr>
              <w:t>Intervalo de confiança</w:t>
            </w:r>
          </w:p>
        </w:tc>
        <w:tc>
          <w:tcPr>
            <w:tcW w:w="1394" w:type="dxa"/>
            <w:tcBorders>
              <w:bottom w:val="single" w:sz="8" w:space="0" w:color="000000"/>
            </w:tcBorders>
            <w:vAlign w:val="center"/>
          </w:tcPr>
          <w:p>
            <w:pPr>
              <w:pStyle w:val="Normal"/>
              <w:widowControl w:val="false"/>
              <w:spacing w:before="0" w:after="0"/>
              <w:ind w:left="0" w:right="80" w:hanging="0"/>
              <w:jc w:val="center"/>
              <w:rPr>
                <w:rFonts w:ascii="Arial" w:hAnsi="Arial" w:eastAsia="Arial" w:cs="Arial"/>
                <w:sz w:val="18"/>
                <w:szCs w:val="18"/>
              </w:rPr>
            </w:pPr>
            <w:r>
              <w:rPr>
                <w:rFonts w:eastAsia="Arial" w:cs="Arial" w:ascii="Arial" w:hAnsi="Arial"/>
                <w:sz w:val="18"/>
                <w:szCs w:val="18"/>
              </w:rPr>
              <w:t>13,1-20,4</w:t>
            </w:r>
          </w:p>
        </w:tc>
        <w:tc>
          <w:tcPr>
            <w:tcW w:w="1334" w:type="dxa"/>
            <w:tcBorders>
              <w:bottom w:val="single" w:sz="8" w:space="0" w:color="000000"/>
            </w:tcBorders>
            <w:vAlign w:val="center"/>
          </w:tcPr>
          <w:p>
            <w:pPr>
              <w:pStyle w:val="Normal"/>
              <w:widowControl w:val="false"/>
              <w:spacing w:before="0" w:after="0"/>
              <w:ind w:left="0" w:hanging="0"/>
              <w:jc w:val="center"/>
              <w:rPr>
                <w:rFonts w:ascii="Arial" w:hAnsi="Arial" w:eastAsia="Arial" w:cs="Arial"/>
                <w:sz w:val="18"/>
                <w:szCs w:val="18"/>
              </w:rPr>
            </w:pPr>
            <w:r>
              <w:rPr>
                <w:rFonts w:eastAsia="Arial" w:cs="Arial" w:ascii="Arial" w:hAnsi="Arial"/>
                <w:sz w:val="18"/>
                <w:szCs w:val="18"/>
              </w:rPr>
              <w:t>17,7-25,5</w:t>
            </w:r>
          </w:p>
        </w:tc>
        <w:tc>
          <w:tcPr>
            <w:tcW w:w="1753" w:type="dxa"/>
            <w:gridSpan w:val="2"/>
            <w:tcBorders>
              <w:bottom w:val="single" w:sz="8" w:space="0" w:color="000000"/>
            </w:tcBorders>
            <w:vAlign w:val="center"/>
          </w:tcPr>
          <w:p>
            <w:pPr>
              <w:pStyle w:val="Normal"/>
              <w:widowControl w:val="false"/>
              <w:spacing w:before="0" w:after="0"/>
              <w:ind w:left="0" w:right="50" w:hanging="0"/>
              <w:jc w:val="center"/>
              <w:rPr>
                <w:rFonts w:ascii="Arial" w:hAnsi="Arial" w:eastAsia="Arial" w:cs="Arial"/>
                <w:sz w:val="18"/>
                <w:szCs w:val="18"/>
              </w:rPr>
            </w:pPr>
            <w:r>
              <w:rPr>
                <w:rFonts w:eastAsia="Arial" w:cs="Arial" w:ascii="Arial" w:hAnsi="Arial"/>
                <w:sz w:val="18"/>
                <w:szCs w:val="18"/>
              </w:rPr>
              <w:t>11,1-18,9</w:t>
            </w:r>
          </w:p>
        </w:tc>
        <w:tc>
          <w:tcPr>
            <w:tcW w:w="1409" w:type="dxa"/>
            <w:vMerge w:val="continue"/>
            <w:tcBorders>
              <w:bottom w:val="single" w:sz="8" w:space="0" w:color="000000"/>
            </w:tcBorders>
          </w:tcPr>
          <w:p>
            <w:pPr>
              <w:pStyle w:val="Normal"/>
              <w:widowControl w:val="false"/>
              <w:spacing w:before="0" w:after="0"/>
              <w:ind w:left="-494" w:right="405" w:hanging="0"/>
              <w:jc w:val="center"/>
              <w:rPr>
                <w:rFonts w:ascii="Arial" w:hAnsi="Arial" w:eastAsia="Arial" w:cs="Arial"/>
                <w:sz w:val="18"/>
                <w:szCs w:val="18"/>
              </w:rPr>
            </w:pPr>
            <w:r>
              <w:rPr>
                <w:rFonts w:eastAsia="Arial" w:cs="Arial" w:ascii="Arial" w:hAnsi="Arial"/>
                <w:sz w:val="18"/>
                <w:szCs w:val="18"/>
              </w:rPr>
            </w:r>
          </w:p>
        </w:tc>
        <w:tc>
          <w:tcPr>
            <w:tcW w:w="1069" w:type="dxa"/>
            <w:vMerge w:val="continue"/>
            <w:tcBorders>
              <w:bottom w:val="single" w:sz="8" w:space="0" w:color="000000"/>
            </w:tcBorders>
          </w:tcPr>
          <w:p>
            <w:pPr>
              <w:pStyle w:val="Normal"/>
              <w:widowControl w:val="false"/>
              <w:tabs>
                <w:tab w:val="clear" w:pos="720"/>
                <w:tab w:val="center" w:pos="231" w:leader="none"/>
                <w:tab w:val="left" w:pos="900" w:leader="none"/>
              </w:tabs>
              <w:spacing w:before="0" w:after="0"/>
              <w:ind w:left="-494" w:right="405" w:hanging="0"/>
              <w:jc w:val="center"/>
              <w:rPr>
                <w:rFonts w:ascii="Arial" w:hAnsi="Arial" w:eastAsia="Arial" w:cs="Arial"/>
                <w:sz w:val="18"/>
                <w:szCs w:val="18"/>
              </w:rPr>
            </w:pPr>
            <w:r>
              <w:rPr>
                <w:rFonts w:eastAsia="Arial" w:cs="Arial" w:ascii="Arial" w:hAnsi="Arial"/>
                <w:sz w:val="18"/>
                <w:szCs w:val="18"/>
              </w:rPr>
            </w:r>
          </w:p>
        </w:tc>
      </w:tr>
    </w:tbl>
    <w:p>
      <w:pPr>
        <w:pStyle w:val="Normal"/>
        <w:ind w:left="0" w:right="-285" w:hanging="0"/>
        <w:rPr/>
      </w:pPr>
      <w:r>
        <w:rPr/>
      </w:r>
      <w:bookmarkStart w:id="3" w:name="_heading=h.vwbbxbe16bcq"/>
      <w:bookmarkStart w:id="4" w:name="_heading=h.vwbbxbe16bcq"/>
      <w:bookmarkEnd w:id="4"/>
    </w:p>
    <w:p>
      <w:pPr>
        <w:pStyle w:val="Normal"/>
        <w:ind w:left="-566" w:right="-550" w:hanging="0"/>
        <w:rPr>
          <w:rFonts w:ascii="Arial" w:hAnsi="Arial" w:eastAsia="Arial" w:cs="Arial"/>
        </w:rPr>
      </w:pPr>
      <w:bookmarkStart w:id="5" w:name="_heading=h.2zi75jn4u83z"/>
      <w:bookmarkEnd w:id="5"/>
      <w:r>
        <w:rPr>
          <w:rFonts w:eastAsia="Arial" w:cs="Arial" w:ascii="Arial" w:hAnsi="Arial"/>
        </w:rPr>
        <w:t>Quanto à produção de forragem acumulada por dia de descanso de Matéria Seca por hectare, observou-se que o tratamento PSA teve uma média de 16,8 kg/ha, com um intervalo de confiança de 13,1 a 20,4 kg/ha. No entanto, o tratamento SSP5 apresentou média significativamente maior, atingindo 21,6 kg/ha com intervalo de confiança de 17,7 a 25 kg/ha. Por outro lado, o tratamento SSP10 registrou média de 15 kg/ha com intervalo de confiança de 11,1 a 18,9 kg/ha. Notavelmente, esses resultados revelaram diferenças estaticamente significativas, com o tratamento SSP5 apresentando maior produção. A % de MS de SSPnu5 (33%) foi de 3 pontos percentuais maior que a SSPnu10 (30%), já o PSA apresentou 31,7% de MS na forragem. Investigação futura para verificar quais nutrientes estão contribuindo para essa maior % de MS devem ser conduzidas para melhor explicar essas diferenças.</w:t>
      </w:r>
    </w:p>
    <w:p>
      <w:pPr>
        <w:pStyle w:val="Normal"/>
        <w:ind w:left="-566" w:right="-550" w:hanging="0"/>
        <w:rPr>
          <w:rFonts w:ascii="Arial" w:hAnsi="Arial" w:eastAsia="Arial" w:cs="Arial"/>
        </w:rPr>
      </w:pPr>
      <w:bookmarkStart w:id="6" w:name="_heading=h.pnbgk8y33jjc"/>
      <w:bookmarkEnd w:id="6"/>
      <w:r>
        <w:rPr>
          <w:rFonts w:eastAsia="Arial" w:cs="Arial" w:ascii="Arial" w:hAnsi="Arial"/>
          <w:b/>
        </w:rPr>
        <w:t>Conclusão</w:t>
      </w:r>
      <w:r>
        <w:rPr>
          <w:rFonts w:eastAsia="Arial" w:cs="Arial" w:ascii="Arial" w:hAnsi="Arial"/>
        </w:rPr>
        <w:t>: A presença de árvores na pastagem na forma de núcleos arbóreos na densidade de 5 ou 10% da área não reduz a taxa de crescimento diária do pasto em relação a não presença de árvores. A densidade de 5%, inclusive, tem maior taxa de acúmulo de MS, devendo ser melhor investigado quais nutrientes contribuem para esse aumento.</w:t>
      </w:r>
    </w:p>
    <w:p>
      <w:pPr>
        <w:pStyle w:val="Normal"/>
        <w:ind w:left="-566" w:right="-550" w:hanging="0"/>
        <w:rPr>
          <w:rFonts w:ascii="Arial" w:hAnsi="Arial" w:eastAsia="Arial" w:cs="Arial"/>
          <w:b/>
          <w:b/>
        </w:rPr>
      </w:pPr>
      <w:bookmarkStart w:id="7" w:name="_heading=h.84b2ms6cowmf"/>
      <w:bookmarkEnd w:id="7"/>
      <w:r>
        <w:rPr>
          <w:rFonts w:eastAsia="Arial" w:cs="Arial" w:ascii="Arial" w:hAnsi="Arial"/>
          <w:b/>
        </w:rPr>
        <w:t>Referências:</w:t>
      </w:r>
    </w:p>
    <w:p>
      <w:pPr>
        <w:pStyle w:val="Normal"/>
        <w:ind w:left="-566" w:right="-550" w:hanging="0"/>
        <w:rPr>
          <w:rFonts w:ascii="Arial" w:hAnsi="Arial" w:eastAsia="Arial" w:cs="Arial"/>
          <w:color w:val="1155CC"/>
          <w:u w:val="single"/>
        </w:rPr>
      </w:pPr>
      <w:bookmarkStart w:id="8" w:name="_heading=h.kdszvr42o18i"/>
      <w:bookmarkEnd w:id="8"/>
      <w:r>
        <w:rPr>
          <w:rFonts w:eastAsia="Arial" w:cs="Arial" w:ascii="Arial" w:hAnsi="Arial"/>
          <w:color w:val="00000A"/>
        </w:rPr>
        <w:t>BATTISTI, Luiz Fernando Zin., SCHMITT FILHO, Abdon Luiz, LOSS, Arcângelo, FARLEY, Joshua, SINISGALLI, Paulo Antonio de Almeida. 2020. Reabilitação do solo pastoril através do Sistema Silvipastoril com Núcleos de Diversidade:  Caracterização dos Atributos Físicos do Solo.HOLOS,36(6)e9473,2020.P1-14.</w:t>
      </w:r>
      <w:hyperlink r:id="rId4">
        <w:r>
          <w:rPr>
            <w:rFonts w:eastAsia="Arial" w:cs="Arial" w:ascii="Arial" w:hAnsi="Arial"/>
            <w:color w:val="1155CC"/>
            <w:u w:val="single"/>
          </w:rPr>
          <w:t>https://doi.org/10.15628/holos.2020.9473</w:t>
        </w:r>
      </w:hyperlink>
      <w:r>
        <w:rPr>
          <w:rFonts w:eastAsia="Arial" w:cs="Arial" w:ascii="Arial" w:hAnsi="Arial"/>
          <w:color w:val="1155CC"/>
          <w:u w:val="single"/>
        </w:rPr>
        <w:t>.</w:t>
      </w:r>
    </w:p>
    <w:p>
      <w:pPr>
        <w:pStyle w:val="Normal"/>
        <w:ind w:left="-566" w:right="-550" w:hanging="0"/>
        <w:rPr>
          <w:rFonts w:ascii="Arial" w:hAnsi="Arial" w:eastAsia="Arial" w:cs="Arial"/>
          <w:color w:val="00000A"/>
          <w:highlight w:val="white"/>
          <w:lang w:val="en-US"/>
        </w:rPr>
      </w:pPr>
      <w:bookmarkStart w:id="9" w:name="_heading=h.f4z0sga5dlf6"/>
      <w:bookmarkEnd w:id="9"/>
      <w:r>
        <w:rPr>
          <w:rFonts w:eastAsia="Arial" w:cs="Arial" w:ascii="Arial" w:hAnsi="Arial"/>
          <w:color w:val="00000A"/>
          <w:highlight w:val="white"/>
        </w:rPr>
        <w:t xml:space="preserve">PINHEIRO MACHADO FILHO, Luiz Carlos; SEÓ, Hizumi Lua Sarti; DAROS, Ruan; ENRIQUEZ-HIDALGO, Daniel; WENDLING, Adenor V; PINHEIRO MACHADO, Luiz Carlos. </w:t>
      </w:r>
      <w:r>
        <w:rPr>
          <w:rFonts w:eastAsia="Arial" w:cs="Arial" w:ascii="Arial" w:hAnsi="Arial"/>
          <w:color w:val="00000A"/>
          <w:highlight w:val="white"/>
          <w:lang w:val="en-US"/>
        </w:rPr>
        <w:t xml:space="preserve">Voisin Rational Grazing as a Sustainable Alternative for Livestock Production. </w:t>
      </w:r>
      <w:r>
        <w:rPr>
          <w:rFonts w:eastAsia="Arial" w:cs="Arial" w:ascii="Arial" w:hAnsi="Arial"/>
          <w:i/>
          <w:color w:val="00000A"/>
          <w:highlight w:val="white"/>
          <w:lang w:val="en-US"/>
        </w:rPr>
        <w:t>Animals</w:t>
      </w:r>
      <w:r>
        <w:rPr>
          <w:rFonts w:eastAsia="Arial" w:cs="Arial" w:ascii="Arial" w:hAnsi="Arial"/>
          <w:color w:val="00000A"/>
          <w:highlight w:val="white"/>
          <w:lang w:val="en-US"/>
        </w:rPr>
        <w:t xml:space="preserve"> 2021, </w:t>
      </w:r>
      <w:r>
        <w:rPr>
          <w:rFonts w:eastAsia="Arial" w:cs="Arial" w:ascii="Arial" w:hAnsi="Arial"/>
          <w:i/>
          <w:color w:val="00000A"/>
          <w:highlight w:val="white"/>
          <w:lang w:val="en-US"/>
        </w:rPr>
        <w:t>11</w:t>
      </w:r>
      <w:r>
        <w:rPr>
          <w:rFonts w:eastAsia="Arial" w:cs="Arial" w:ascii="Arial" w:hAnsi="Arial"/>
          <w:color w:val="00000A"/>
          <w:highlight w:val="white"/>
          <w:lang w:val="en-US"/>
        </w:rPr>
        <w:t>, 3494.</w:t>
      </w:r>
      <w:hyperlink r:id="rId5">
        <w:r>
          <w:rPr>
            <w:rFonts w:eastAsia="Arial" w:cs="Arial" w:ascii="Arial" w:hAnsi="Arial"/>
            <w:color w:val="00000A"/>
            <w:highlight w:val="white"/>
            <w:lang w:val="en-US"/>
          </w:rPr>
          <w:t xml:space="preserve"> </w:t>
        </w:r>
      </w:hyperlink>
      <w:hyperlink r:id="rId6">
        <w:r>
          <w:rPr>
            <w:rFonts w:eastAsia="Arial" w:cs="Arial" w:ascii="Arial" w:hAnsi="Arial"/>
            <w:color w:val="1155CC"/>
            <w:highlight w:val="white"/>
            <w:u w:val="single"/>
            <w:lang w:val="en-US"/>
          </w:rPr>
          <w:t>https://doi.org/10.3390/ani11123494</w:t>
        </w:r>
      </w:hyperlink>
      <w:r>
        <w:rPr>
          <w:rFonts w:eastAsia="Arial" w:cs="Arial" w:ascii="Arial" w:hAnsi="Arial"/>
          <w:color w:val="00000A"/>
          <w:highlight w:val="white"/>
          <w:lang w:val="en-US"/>
        </w:rPr>
        <w:t>.</w:t>
      </w:r>
    </w:p>
    <w:p>
      <w:pPr>
        <w:pStyle w:val="Normal"/>
        <w:ind w:left="-566" w:right="-550" w:hanging="0"/>
        <w:rPr>
          <w:rFonts w:ascii="Arial" w:hAnsi="Arial" w:eastAsia="Arial" w:cs="Arial"/>
          <w:color w:val="00000A"/>
          <w:lang w:val="en-US"/>
        </w:rPr>
      </w:pPr>
      <w:bookmarkStart w:id="10" w:name="_heading=h.2ddgyf5fc4wg"/>
      <w:bookmarkEnd w:id="10"/>
      <w:r>
        <w:rPr>
          <w:rFonts w:eastAsia="Arial" w:cs="Arial" w:ascii="Arial" w:hAnsi="Arial"/>
          <w:color w:val="00000A"/>
          <w:lang w:val="en-US"/>
        </w:rPr>
        <w:t>SCHMITT FILHO, Abdon Luiz; FARLEY, Joshua. 2020. Transdisciplinary case approaches to the ecological restoration of rainforest ecosystems. Ecological economic and socio ecological strategies for forest conservation: A transdisciplinary approach. Springer International Publishing.</w:t>
      </w:r>
      <w:r>
        <w:fldChar w:fldCharType="begin"/>
      </w:r>
      <w:r>
        <w:rPr>
          <w:u w:val="single"/>
          <w:rFonts w:eastAsia="Arial" w:cs="Arial" w:ascii="Arial" w:hAnsi="Arial"/>
          <w:color w:val="1155CC"/>
          <w:lang w:val="en-US"/>
        </w:rPr>
        <w:instrText xml:space="preserve"> HYPERLINK "https://www.springer.com/us/book/9783030353780?utm_medium=display" \l "aboutBook"</w:instrText>
      </w:r>
      <w:r>
        <w:rPr>
          <w:u w:val="single"/>
          <w:rFonts w:eastAsia="Arial" w:cs="Arial" w:ascii="Arial" w:hAnsi="Arial"/>
          <w:color w:val="1155CC"/>
          <w:lang w:val="en-US"/>
        </w:rPr>
        <w:fldChar w:fldCharType="separate"/>
      </w:r>
      <w:r>
        <w:rPr>
          <w:rFonts w:eastAsia="Arial" w:cs="Arial" w:ascii="Arial" w:hAnsi="Arial"/>
          <w:color w:val="1155CC"/>
          <w:u w:val="single"/>
          <w:lang w:val="en-US"/>
        </w:rPr>
        <w:t>https://www.springer.com/us/book/9783030353780?utm_medium=display#aboutBook</w:t>
      </w:r>
      <w:r>
        <w:rPr>
          <w:u w:val="single"/>
          <w:rFonts w:eastAsia="Arial" w:cs="Arial" w:ascii="Arial" w:hAnsi="Arial"/>
          <w:color w:val="1155CC"/>
          <w:lang w:val="en-US"/>
        </w:rPr>
        <w:fldChar w:fldCharType="end"/>
      </w:r>
    </w:p>
    <w:p>
      <w:pPr>
        <w:pStyle w:val="Normal"/>
        <w:spacing w:before="0" w:after="160"/>
        <w:ind w:left="-566" w:right="-550" w:hanging="0"/>
        <w:rPr/>
      </w:pPr>
      <w:bookmarkStart w:id="11" w:name="_heading=h.eloqrh8h9yl9"/>
      <w:bookmarkEnd w:id="11"/>
      <w:r>
        <w:rPr>
          <w:rFonts w:eastAsia="Arial" w:cs="Arial" w:ascii="Arial" w:hAnsi="Arial"/>
          <w:color w:val="00000A"/>
        </w:rPr>
        <w:t xml:space="preserve">SCHMITT FILHO; Abdon Luiz; KRETZER, Stéfano Gomes; FALEY, Joshua, KAZAMA, Daniele Cristina; SINISGALLI, Paulo A, DENIZ, Matheus. </w:t>
      </w:r>
      <w:r>
        <w:rPr>
          <w:rFonts w:eastAsia="Arial" w:cs="Arial" w:ascii="Arial" w:hAnsi="Arial"/>
          <w:color w:val="00000A"/>
          <w:lang w:val="en-US"/>
        </w:rPr>
        <w:t xml:space="preserve">2013. Applied nucleation under high biodiversity silvopastoral system as an adaptive strategy against microclimate extremes in pasture areas. </w:t>
      </w:r>
      <w:r>
        <w:rPr>
          <w:rFonts w:eastAsia="Arial" w:cs="Arial" w:ascii="Arial" w:hAnsi="Arial"/>
          <w:color w:val="00000A"/>
        </w:rPr>
        <w:t>International Journal of Biomethereology.</w:t>
      </w:r>
      <w:hyperlink r:id="rId7">
        <w:r>
          <w:rPr>
            <w:rFonts w:eastAsia="Arial" w:cs="Arial" w:ascii="Arial" w:hAnsi="Arial"/>
            <w:color w:val="00000A"/>
          </w:rPr>
          <w:t xml:space="preserve"> </w:t>
        </w:r>
      </w:hyperlink>
      <w:hyperlink r:id="rId8">
        <w:r>
          <w:rPr>
            <w:rFonts w:eastAsia="Arial" w:cs="Arial" w:ascii="Arial" w:hAnsi="Arial"/>
            <w:color w:val="1155CC"/>
            <w:u w:val="single"/>
          </w:rPr>
          <w:t>https://doi.org/10.1007/s00484-023-02488-2</w:t>
        </w:r>
      </w:hyperlink>
    </w:p>
    <w:sectPr>
      <w:headerReference w:type="default" r:id="rId9"/>
      <w:type w:val="nextPage"/>
      <w:pgSz w:w="11906" w:h="16838"/>
      <w:pgMar w:left="1701" w:right="1701" w:gutter="0" w:header="708" w:top="1417" w:footer="0" w:bottom="1417"/>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Georgia">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abs>
        <w:tab w:val="clear" w:pos="720"/>
        <w:tab w:val="center" w:pos="4252" w:leader="none"/>
        <w:tab w:val="right" w:pos="8504" w:leader="none"/>
      </w:tabs>
      <w:spacing w:before="0" w:after="0"/>
      <w:rPr>
        <w:color w:val="000000"/>
      </w:rPr>
    </w:pPr>
    <w:r>
      <w:rPr>
        <w:color w:val="000000"/>
      </w:rPr>
      <w:drawing>
        <wp:anchor behindDoc="1" distT="0" distB="0" distL="114300" distR="114300" simplePos="0" locked="0" layoutInCell="0" allowOverlap="1" relativeHeight="5">
          <wp:simplePos x="0" y="0"/>
          <wp:positionH relativeFrom="column">
            <wp:posOffset>-1106170</wp:posOffset>
          </wp:positionH>
          <wp:positionV relativeFrom="paragraph">
            <wp:posOffset>635</wp:posOffset>
          </wp:positionV>
          <wp:extent cx="7340600" cy="1080770"/>
          <wp:effectExtent l="0" t="0" r="0" b="0"/>
          <wp:wrapTopAndBottom/>
          <wp:docPr id="2"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
                  <pic:cNvPicPr>
                    <a:picLocks noChangeAspect="1" noChangeArrowheads="1"/>
                  </pic:cNvPicPr>
                </pic:nvPicPr>
                <pic:blipFill>
                  <a:blip r:embed="rId1"/>
                  <a:srcRect l="0" t="13290" r="0" b="-13290"/>
                  <a:stretch>
                    <a:fillRect/>
                  </a:stretch>
                </pic:blipFill>
                <pic:spPr bwMode="auto">
                  <a:xfrm>
                    <a:off x="0" y="0"/>
                    <a:ext cx="7340600" cy="1080770"/>
                  </a:xfrm>
                  <a:prstGeom prst="rect">
                    <a:avLst/>
                  </a:prstGeom>
                </pic:spPr>
              </pic:pic>
            </a:graphicData>
          </a:graphic>
        </wp:anchor>
      </w:drawing>
    </w:r>
  </w:p>
</w:hdr>
</file>

<file path=word/settings.xml><?xml version="1.0" encoding="utf-8"?>
<w:settings xmlns:w="http://schemas.openxmlformats.org/wordprocessingml/2006/main">
  <w:zoom w:percent="16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pt-BR" w:eastAsia="pt-BR"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before="0" w:after="160"/>
      <w:ind w:left="357" w:firstLine="709"/>
      <w:jc w:val="both"/>
    </w:pPr>
    <w:rPr>
      <w:rFonts w:ascii="Calibri" w:hAnsi="Calibri" w:eastAsia="Calibri" w:cs="Calibri"/>
      <w:color w:val="auto"/>
      <w:kern w:val="0"/>
      <w:sz w:val="22"/>
      <w:szCs w:val="22"/>
      <w:lang w:val="pt-BR" w:eastAsia="pt-BR" w:bidi="ar-SA"/>
    </w:rPr>
  </w:style>
  <w:style w:type="paragraph" w:styleId="Ttulo1">
    <w:name w:val="Heading 1"/>
    <w:basedOn w:val="Normal"/>
    <w:next w:val="Normal"/>
    <w:qFormat/>
    <w:pPr>
      <w:keepNext w:val="true"/>
      <w:keepLines/>
      <w:spacing w:before="480" w:after="120"/>
      <w:outlineLvl w:val="0"/>
    </w:pPr>
    <w:rPr>
      <w:b/>
      <w:sz w:val="48"/>
      <w:szCs w:val="48"/>
    </w:rPr>
  </w:style>
  <w:style w:type="paragraph" w:styleId="Ttulo2">
    <w:name w:val="Heading 2"/>
    <w:basedOn w:val="Normal"/>
    <w:next w:val="Normal"/>
    <w:qFormat/>
    <w:pPr>
      <w:keepNext w:val="true"/>
      <w:keepLines/>
      <w:spacing w:before="360" w:after="80"/>
      <w:outlineLvl w:val="1"/>
    </w:pPr>
    <w:rPr>
      <w:b/>
      <w:sz w:val="36"/>
      <w:szCs w:val="36"/>
    </w:rPr>
  </w:style>
  <w:style w:type="paragraph" w:styleId="Ttulo3">
    <w:name w:val="Heading 3"/>
    <w:basedOn w:val="Normal"/>
    <w:next w:val="Normal"/>
    <w:qFormat/>
    <w:pPr>
      <w:keepNext w:val="true"/>
      <w:keepLines/>
      <w:spacing w:before="280" w:after="80"/>
      <w:outlineLvl w:val="2"/>
    </w:pPr>
    <w:rPr>
      <w:b/>
      <w:sz w:val="28"/>
      <w:szCs w:val="28"/>
    </w:rPr>
  </w:style>
  <w:style w:type="paragraph" w:styleId="Ttulo4">
    <w:name w:val="Heading 4"/>
    <w:basedOn w:val="Normal"/>
    <w:next w:val="Normal"/>
    <w:qFormat/>
    <w:pPr>
      <w:keepNext w:val="true"/>
      <w:keepLines/>
      <w:spacing w:before="240" w:after="40"/>
      <w:outlineLvl w:val="3"/>
    </w:pPr>
    <w:rPr>
      <w:b/>
      <w:sz w:val="24"/>
      <w:szCs w:val="24"/>
    </w:rPr>
  </w:style>
  <w:style w:type="paragraph" w:styleId="Ttulo5">
    <w:name w:val="Heading 5"/>
    <w:basedOn w:val="Normal"/>
    <w:next w:val="Normal"/>
    <w:qFormat/>
    <w:pPr>
      <w:keepNext w:val="true"/>
      <w:keepLines/>
      <w:spacing w:before="220" w:after="40"/>
      <w:outlineLvl w:val="4"/>
    </w:pPr>
    <w:rPr>
      <w:b/>
    </w:rPr>
  </w:style>
  <w:style w:type="paragraph" w:styleId="Ttulo6">
    <w:name w:val="Heading 6"/>
    <w:basedOn w:val="Normal"/>
    <w:next w:val="Normal"/>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LinkdaInternet">
    <w:name w:val="Link da Internet"/>
    <w:rPr>
      <w:color w:val="000080"/>
      <w:u w:val="single"/>
      <w:lang w:val="zxx" w:eastAsia="zxx" w:bidi="zxx"/>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Ttulododocumento">
    <w:name w:val="Title"/>
    <w:basedOn w:val="Normal"/>
    <w:next w:val="Normal"/>
    <w:qFormat/>
    <w:pPr>
      <w:keepNext w:val="true"/>
      <w:keepLines/>
      <w:spacing w:before="480" w:after="120"/>
    </w:pPr>
    <w:rPr>
      <w:b/>
      <w:sz w:val="72"/>
      <w:szCs w:val="72"/>
    </w:rPr>
  </w:style>
  <w:style w:type="paragraph" w:styleId="Subttulo">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CabealhoeRodap">
    <w:name w:val="Cabeçalho e Rodapé"/>
    <w:basedOn w:val="Normal"/>
    <w:qFormat/>
    <w:pPr/>
    <w:rPr/>
  </w:style>
  <w:style w:type="paragraph" w:styleId="Cabealho">
    <w:name w:val="Header"/>
    <w:basedOn w:val="CabealhoeRodap"/>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styleId="Tabelacomgrade">
    <w:name w:val="Table Grid"/>
    <w:basedOn w:val="Tabelanormal"/>
    <w:uiPriority w:val="39"/>
    <w:rsid w:val="005a561d"/>
    <w:pPr>
      <w:spacing w:after="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raphabuch@gmail.com" TargetMode="External"/><Relationship Id="rId3" Type="http://schemas.openxmlformats.org/officeDocument/2006/relationships/image" Target="media/image1.png"/><Relationship Id="rId4" Type="http://schemas.openxmlformats.org/officeDocument/2006/relationships/hyperlink" Target="https://doi.org/10.15628/holos.2020.9473" TargetMode="External"/><Relationship Id="rId5" Type="http://schemas.openxmlformats.org/officeDocument/2006/relationships/hyperlink" Target="https://doi.org/10.3390/ani11123494" TargetMode="External"/><Relationship Id="rId6" Type="http://schemas.openxmlformats.org/officeDocument/2006/relationships/hyperlink" Target="https://doi.org/10.3390/ani11123494" TargetMode="External"/><Relationship Id="rId7" Type="http://schemas.openxmlformats.org/officeDocument/2006/relationships/hyperlink" Target="https://doi.org/10.1007/s00484-023-02488-2" TargetMode="External"/><Relationship Id="rId8" Type="http://schemas.openxmlformats.org/officeDocument/2006/relationships/hyperlink" Target="https://doi.org/10.1007/s00484-023-02488-2"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CA6hAfA0spzHsq/p7rTsij1yoqA==">CgMxLjAyDmgudWRlcTdtamFzdTVuMg5oLmJwdWlkZGZ4Nng1YzIOaC52d2JieGJlMTZiY3EyDmguMnppNzVqbjR1ODN6Mg5oLnBuYmdrOHkzM2pqYzIOaC44NGIybXM2Y293bWYyDmgua2RzenZyNDJvMThpMg5oLmY0ejBzZ2E1ZGxmNjIOaC4yZGRneWY1ZmM0d2cyDmguZWxvcXJoOGg5eWw5OAByITFwWDA1OXRKNEpfMFlxcUNHdGIzaXdJT1RQRFpNRFZTbQ==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TotalTime>
  <Application>LibreOffice/7.3.2.2$Windows_X86_64 LibreOffice_project/49f2b1bff42cfccbd8f788c8dc32c1c309559be0</Application>
  <AppVersion>15.0000</AppVersion>
  <Pages>2</Pages>
  <Words>1458</Words>
  <Characters>8295</Characters>
  <CharactersWithSpaces>9697</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2023-10-18T19:31:00Z</dcterms:created>
  <dc:creator>Daniele Kazama</dc:creator>
  <dc:description/>
  <dc:language>pt-BR</dc:language>
  <cp:lastModifiedBy>Conta da Microsoft</cp:lastModifiedBy>
  <dcterms:modified xsi:type="dcterms:W3CDTF">2023-10-18T19:59:00Z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