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76"/>
        <w:ind w:right="280" w:hanging="0"/>
        <w:rPr>
          <w:rFonts w:ascii="Arial" w:hAnsi="Arial" w:cs="Arial"/>
          <w:sz w:val="20"/>
          <w:szCs w:val="20"/>
        </w:rPr>
      </w:pPr>
      <w:r>
        <w:rPr>
          <w:rFonts w:cs="Arial" w:ascii="Arial" w:hAnsi="Arial"/>
          <w:sz w:val="20"/>
          <w:szCs w:val="20"/>
        </w:rPr>
      </w:r>
    </w:p>
    <w:p>
      <w:pPr>
        <w:pStyle w:val="LOnormal"/>
        <w:spacing w:lineRule="auto" w:line="276"/>
        <w:ind w:right="280" w:hanging="0"/>
        <w:jc w:val="center"/>
        <w:rPr>
          <w:rFonts w:ascii="Arial" w:hAnsi="Arial" w:eastAsia="Arial" w:cs="Arial"/>
          <w:b/>
          <w:b/>
          <w:bCs/>
          <w:color w:val="000000"/>
          <w:sz w:val="28"/>
          <w:szCs w:val="28"/>
          <w:u w:val="none" w:color="000000"/>
          <w:lang w:val="pt-BR"/>
        </w:rPr>
      </w:pPr>
      <w:r>
        <w:rPr>
          <w:rFonts w:eastAsia="Arial" w:cs="Arial" w:ascii="Arial" w:hAnsi="Arial"/>
          <w:b/>
          <w:bCs/>
          <w:color w:val="000000"/>
          <w:sz w:val="28"/>
          <w:szCs w:val="28"/>
          <w:u w:val="none" w:color="000000"/>
          <w:lang w:val="pt-BR"/>
        </w:rPr>
        <w:t>IMPACTO DA INCLUSÃO DE SILAGEM DE TREVO-BRANCO SOBRE O CONSUMO E A DIGESTIBILIDADE DA DIETA DE RUMINANTES</w:t>
      </w:r>
    </w:p>
    <w:p>
      <w:pPr>
        <w:pStyle w:val="LOnormal"/>
        <w:ind w:right="284" w:hanging="0"/>
        <w:jc w:val="center"/>
        <w:rPr>
          <w:rFonts w:ascii="Arial" w:hAnsi="Arial" w:eastAsia="Arial" w:cs="Arial"/>
          <w:color w:val="000000"/>
          <w:sz w:val="20"/>
          <w:szCs w:val="20"/>
          <w:u w:val="none" w:color="000000"/>
          <w:lang w:val="pt-BR"/>
        </w:rPr>
      </w:pPr>
      <w:r>
        <w:rPr>
          <w:rFonts w:eastAsia="Arial" w:cs="Arial" w:ascii="Arial" w:hAnsi="Arial"/>
          <w:color w:val="000000"/>
          <w:sz w:val="20"/>
          <w:szCs w:val="20"/>
          <w:u w:val="none" w:color="000000"/>
          <w:lang w:val="pt-BR"/>
        </w:rPr>
      </w:r>
    </w:p>
    <w:p>
      <w:pPr>
        <w:pStyle w:val="LOnormal"/>
        <w:ind w:right="284" w:hanging="0"/>
        <w:jc w:val="center"/>
        <w:rPr>
          <w:rFonts w:ascii="Arial" w:hAnsi="Arial" w:eastAsia="Arial" w:cs="Arial"/>
          <w:color w:val="000000"/>
          <w:sz w:val="20"/>
          <w:szCs w:val="20"/>
          <w:u w:val="none" w:color="000000"/>
          <w:vertAlign w:val="subscript"/>
          <w:lang w:val="pt-BR"/>
        </w:rPr>
      </w:pPr>
      <w:r>
        <w:rPr>
          <w:rFonts w:eastAsia="Arial" w:cs="Arial" w:ascii="Arial" w:hAnsi="Arial"/>
          <w:color w:val="000000"/>
          <w:sz w:val="20"/>
          <w:szCs w:val="20"/>
          <w:u w:val="none" w:color="000000"/>
          <w:lang w:val="pt-BR"/>
        </w:rPr>
        <w:t xml:space="preserve">Ricardo Biasiolo¹, </w:t>
      </w:r>
      <w:r>
        <w:rPr>
          <w:rFonts w:eastAsia="Arial" w:cs="Arial" w:ascii="Arial" w:hAnsi="Arial"/>
          <w:color w:val="000000"/>
          <w:sz w:val="20"/>
          <w:szCs w:val="20"/>
          <w:u w:val="single"/>
          <w:lang w:val="pt-BR"/>
        </w:rPr>
        <w:t>Maria Isabel Martini²</w:t>
      </w:r>
      <w:r>
        <w:rPr>
          <w:rFonts w:eastAsia="Arial" w:cs="Arial" w:ascii="Arial" w:hAnsi="Arial"/>
          <w:color w:val="000000"/>
          <w:sz w:val="20"/>
          <w:szCs w:val="20"/>
          <w:u w:val="none" w:color="000000"/>
          <w:lang w:val="pt-BR"/>
        </w:rPr>
        <w:t>, Vilmar Zardo³</w:t>
      </w:r>
      <w:r>
        <w:rPr>
          <w:rFonts w:eastAsia="Arial" w:cs="Arial" w:ascii="Arial" w:hAnsi="Arial"/>
          <w:color w:val="000000"/>
          <w:sz w:val="20"/>
          <w:szCs w:val="20"/>
          <w:u w:val="none" w:color="000000"/>
          <w:vertAlign w:val="subscript"/>
          <w:lang w:val="pt-BR"/>
        </w:rPr>
        <w:t xml:space="preserve">, </w:t>
      </w:r>
      <w:r>
        <w:rPr>
          <w:rFonts w:eastAsia="Arial" w:cs="Arial" w:ascii="Arial" w:hAnsi="Arial"/>
          <w:color w:val="000000"/>
          <w:sz w:val="20"/>
          <w:szCs w:val="20"/>
          <w:u w:val="none" w:color="000000"/>
          <w:lang w:val="pt-BR"/>
        </w:rPr>
        <w:t>Henrique M.N. Ribeiro-Filho</w:t>
      </w:r>
      <w:r>
        <w:rPr>
          <w:rFonts w:eastAsia="Arial" w:cs="Arial" w:ascii="Arial" w:hAnsi="Arial"/>
          <w:color w:val="000000"/>
          <w:sz w:val="20"/>
          <w:szCs w:val="20"/>
          <w:u w:val="none" w:color="000000"/>
          <w:vertAlign w:val="superscript"/>
          <w:lang w:val="pt-BR"/>
        </w:rPr>
        <w:t>4</w:t>
      </w:r>
    </w:p>
    <w:p>
      <w:pPr>
        <w:pStyle w:val="LOnormal"/>
        <w:ind w:right="284" w:hanging="0"/>
        <w:jc w:val="center"/>
        <w:rPr>
          <w:rFonts w:ascii="Arial" w:hAnsi="Arial" w:eastAsia="Arial" w:cs="Arial"/>
          <w:color w:val="000000"/>
          <w:sz w:val="20"/>
          <w:szCs w:val="20"/>
          <w:u w:val="none" w:color="000000"/>
          <w:lang w:val="pt-BR"/>
        </w:rPr>
      </w:pPr>
      <w:r>
        <w:rPr>
          <w:rFonts w:eastAsia="Arial" w:cs="Arial" w:ascii="Arial" w:hAnsi="Arial"/>
          <w:color w:val="000000"/>
          <w:sz w:val="20"/>
          <w:szCs w:val="20"/>
          <w:u w:val="none" w:color="000000"/>
          <w:lang w:val="pt-BR"/>
        </w:rPr>
      </w:r>
    </w:p>
    <w:p>
      <w:pPr>
        <w:pStyle w:val="LOnormal"/>
        <w:ind w:right="284" w:hanging="0"/>
        <w:jc w:val="center"/>
        <w:rPr>
          <w:rFonts w:ascii="Arial" w:hAnsi="Arial" w:cs="Arial"/>
          <w:color w:val="000000"/>
          <w:sz w:val="20"/>
          <w:szCs w:val="20"/>
          <w:u w:val="none" w:color="000000"/>
          <w:lang w:val="pt-BR"/>
        </w:rPr>
      </w:pPr>
      <w:r>
        <w:rPr>
          <w:rFonts w:cs="Arial" w:ascii="Arial" w:hAnsi="Arial"/>
          <w:color w:val="000000"/>
          <w:sz w:val="20"/>
          <w:szCs w:val="20"/>
          <w:u w:val="none" w:color="000000"/>
          <w:vertAlign w:val="superscript"/>
          <w:lang w:val="pt-BR"/>
        </w:rPr>
        <w:t>1,2,4</w:t>
      </w:r>
      <w:r>
        <w:rPr>
          <w:rFonts w:cs="Arial" w:ascii="Arial" w:hAnsi="Arial"/>
          <w:color w:val="000000"/>
          <w:sz w:val="20"/>
          <w:szCs w:val="20"/>
          <w:u w:val="none" w:color="000000"/>
          <w:lang w:val="pt-BR"/>
        </w:rPr>
        <w:t xml:space="preserve"> Universidade do Estado de Santa Catarina. E-mail: </w:t>
      </w:r>
      <w:hyperlink r:id="rId2">
        <w:r>
          <w:rPr>
            <w:rStyle w:val="LinkdaInternet"/>
            <w:rFonts w:cs="Arial" w:ascii="Arial" w:hAnsi="Arial"/>
            <w:sz w:val="20"/>
            <w:szCs w:val="20"/>
            <w:lang w:val="pt-BR"/>
          </w:rPr>
          <w:t>maria.martini@edu.udesc.br</w:t>
        </w:r>
      </w:hyperlink>
    </w:p>
    <w:p>
      <w:pPr>
        <w:pStyle w:val="Notadefim"/>
        <w:jc w:val="center"/>
        <w:rPr>
          <w:rFonts w:ascii="Arial" w:hAnsi="Arial" w:cs="Arial"/>
          <w:color w:val="0066FF"/>
        </w:rPr>
      </w:pPr>
      <w:r>
        <w:rPr>
          <w:rFonts w:cs="Arial" w:ascii="Arial" w:hAnsi="Arial"/>
          <w:vertAlign w:val="superscript"/>
        </w:rPr>
        <w:t xml:space="preserve">3 </w:t>
      </w:r>
      <w:r>
        <w:rPr>
          <w:rFonts w:cs="Arial" w:ascii="Arial" w:hAnsi="Arial"/>
        </w:rPr>
        <w:t>Pesquisador - Epagri, Lages</w:t>
      </w:r>
    </w:p>
    <w:p>
      <w:pPr>
        <w:pStyle w:val="LOnormal"/>
        <w:spacing w:lineRule="auto" w:line="276"/>
        <w:ind w:right="280" w:hanging="0"/>
        <w:jc w:val="center"/>
        <w:rPr>
          <w:rFonts w:ascii="Arial" w:hAnsi="Arial" w:eastAsia="Arial" w:cs="Arial"/>
          <w:color w:val="000000"/>
          <w:sz w:val="20"/>
          <w:szCs w:val="20"/>
          <w:u w:val="none" w:color="000000"/>
          <w:vertAlign w:val="subscript"/>
          <w:lang w:val="pt-BR"/>
        </w:rPr>
      </w:pPr>
      <w:r>
        <w:rPr>
          <w:rFonts w:eastAsia="Arial" w:cs="Arial" w:ascii="Arial" w:hAnsi="Arial"/>
          <w:color w:val="000000"/>
          <w:sz w:val="20"/>
          <w:szCs w:val="20"/>
          <w:u w:val="none" w:color="000000"/>
          <w:vertAlign w:val="subscript"/>
          <w:lang w:val="pt-BR"/>
        </w:rPr>
      </w:r>
    </w:p>
    <w:p>
      <w:pPr>
        <w:pStyle w:val="Normal"/>
        <w:jc w:val="both"/>
        <w:rPr>
          <w:rFonts w:ascii="Arial" w:hAnsi="Arial" w:cs="Arial"/>
          <w:sz w:val="22"/>
          <w:szCs w:val="22"/>
          <w:lang w:val="pt-BR"/>
        </w:rPr>
      </w:pPr>
      <w:r>
        <w:rPr>
          <w:rFonts w:cs="Arial" w:ascii="Arial" w:hAnsi="Arial"/>
          <w:b/>
          <w:bCs/>
          <w:color w:val="000000" w:themeColor="text1"/>
          <w:sz w:val="22"/>
          <w:szCs w:val="22"/>
          <w:lang w:val="pt-BR"/>
        </w:rPr>
        <w:t>Contribuição para a sociedade</w:t>
      </w:r>
      <w:r>
        <w:rPr>
          <w:rFonts w:cs="Arial" w:ascii="Arial" w:hAnsi="Arial"/>
          <w:color w:val="000000" w:themeColor="text1"/>
          <w:sz w:val="22"/>
          <w:szCs w:val="22"/>
          <w:lang w:val="pt-BR"/>
        </w:rPr>
        <w:t>:</w:t>
      </w:r>
      <w:r>
        <w:rPr>
          <w:rFonts w:ascii="Arial" w:hAnsi="Arial"/>
          <w:color w:val="000000"/>
          <w:sz w:val="22"/>
          <w:szCs w:val="22"/>
          <w:u w:val="none" w:color="000000"/>
          <w:lang w:val="pt-BR"/>
        </w:rPr>
        <w:t xml:space="preserve"> A adição de leguminosas na pecuária impulsiona ganhos zootécnicos e representa uma prática sustentável ao reduzir a necessidade de fertilizantes. Neste estudo, testou-se os benefícios nutricionais da inclusão de silagem de trevo branco (0%, 20%, 40% e 60% da matéria seca (MS)) em dietas para ruminantes. Observou-se que a inclusão de até 40% da leguminosa tendeu a aumentar o consumo de MS e aumentou o consumo de proteína bruta (PB). A inclusão de 60% de trevo não representou vantagem sobre o consumo de proteína, e reduziu a eficiência de uso do nitrogênio (N). A inclusão do trevo reduziu a digestibilidade da MS e da matéria orgânica, mas o consumo de nutrientes digestíveis manteve-se constante entre os tratamentos. Conclui-se que a adição de 40% de silagem de trevo branco na dieta à base de gramíneas promoveu vantagens nutricionais, enquanto a inclusão acima de 40% reduziu a eficiência de uso do N.</w:t>
      </w:r>
    </w:p>
    <w:p>
      <w:pPr>
        <w:pStyle w:val="LOnormal"/>
        <w:jc w:val="both"/>
        <w:rPr>
          <w:rFonts w:ascii="Arial" w:hAnsi="Arial"/>
          <w:color w:val="000000"/>
          <w:sz w:val="20"/>
          <w:szCs w:val="20"/>
          <w:u w:val="none" w:color="000000"/>
          <w:lang w:val="pt-BR"/>
        </w:rPr>
      </w:pPr>
      <w:r>
        <w:rPr>
          <w:rFonts w:ascii="Arial" w:hAnsi="Arial"/>
          <w:color w:val="000000"/>
          <w:sz w:val="20"/>
          <w:szCs w:val="20"/>
          <w:u w:val="none" w:color="000000"/>
          <w:lang w:val="pt-BR"/>
        </w:rPr>
      </w:r>
    </w:p>
    <w:p>
      <w:pPr>
        <w:pStyle w:val="LOnormal"/>
        <w:jc w:val="both"/>
        <w:rPr>
          <w:rFonts w:ascii="Arial" w:hAnsi="Arial"/>
          <w:color w:val="000000"/>
          <w:sz w:val="22"/>
          <w:szCs w:val="22"/>
          <w:lang w:val="pt-BR"/>
        </w:rPr>
      </w:pPr>
      <w:r>
        <w:rPr>
          <w:rFonts w:ascii="Arial" w:hAnsi="Arial"/>
          <w:b/>
          <w:bCs/>
          <w:color w:val="000000" w:themeColor="text1"/>
          <w:sz w:val="22"/>
          <w:szCs w:val="22"/>
          <w:lang w:val="pt-BR"/>
        </w:rPr>
        <w:t>Palavras-chave</w:t>
      </w:r>
      <w:r>
        <w:rPr>
          <w:rFonts w:ascii="Arial" w:hAnsi="Arial"/>
          <w:color w:val="000000" w:themeColor="text1"/>
          <w:sz w:val="22"/>
          <w:szCs w:val="22"/>
          <w:lang w:val="pt-BR"/>
        </w:rPr>
        <w:t xml:space="preserve">: Forragem, nutrição animal, </w:t>
      </w:r>
      <w:r>
        <w:rPr>
          <w:rFonts w:ascii="Arial" w:hAnsi="Arial"/>
          <w:i/>
          <w:color w:val="000000" w:themeColor="text1"/>
          <w:sz w:val="22"/>
          <w:szCs w:val="22"/>
          <w:lang w:val="pt-BR"/>
        </w:rPr>
        <w:t>Trifolium repens</w:t>
      </w:r>
      <w:r>
        <w:rPr>
          <w:rFonts w:ascii="Arial" w:hAnsi="Arial"/>
          <w:color w:val="000000" w:themeColor="text1"/>
          <w:sz w:val="22"/>
          <w:szCs w:val="22"/>
          <w:lang w:val="pt-BR"/>
        </w:rPr>
        <w:t xml:space="preserve"> L.</w:t>
      </w:r>
    </w:p>
    <w:p>
      <w:pPr>
        <w:pStyle w:val="LOnormal"/>
        <w:jc w:val="both"/>
        <w:rPr>
          <w:rFonts w:ascii="Arial" w:hAnsi="Arial"/>
          <w:color w:val="FF0000"/>
          <w:sz w:val="20"/>
          <w:szCs w:val="20"/>
          <w:lang w:val="pt-BR"/>
        </w:rPr>
      </w:pPr>
      <w:r>
        <w:rPr>
          <w:rFonts w:ascii="Arial" w:hAnsi="Arial"/>
          <w:color w:val="FF0000"/>
          <w:sz w:val="20"/>
          <w:szCs w:val="20"/>
          <w:lang w:val="pt-BR"/>
        </w:rPr>
      </w:r>
    </w:p>
    <w:p>
      <w:pPr>
        <w:pStyle w:val="Normal"/>
        <w:jc w:val="both"/>
        <w:rPr>
          <w:rFonts w:ascii="Arial" w:hAnsi="Arial" w:cs="Arial"/>
          <w:sz w:val="22"/>
          <w:szCs w:val="22"/>
          <w:lang w:val="pt-BR"/>
        </w:rPr>
      </w:pPr>
      <w:r>
        <w:rPr>
          <w:rFonts w:cs="Arial" w:ascii="Arial" w:hAnsi="Arial"/>
          <w:b/>
          <w:bCs/>
          <w:sz w:val="22"/>
          <w:szCs w:val="22"/>
          <w:lang w:val="pt-BR"/>
        </w:rPr>
        <w:t>Introdução:</w:t>
      </w:r>
      <w:r>
        <w:rPr>
          <w:rFonts w:cs="Arial" w:ascii="Arial" w:hAnsi="Arial"/>
          <w:sz w:val="22"/>
          <w:szCs w:val="22"/>
          <w:lang w:val="pt-BR"/>
        </w:rPr>
        <w:t xml:space="preserve"> </w:t>
      </w:r>
      <w:r>
        <w:rPr>
          <w:rFonts w:eastAsia="TimesNewRomanPSMT" w:cs="Arial" w:ascii="Arial" w:hAnsi="Arial"/>
          <w:sz w:val="22"/>
          <w:szCs w:val="22"/>
          <w:lang w:val="pt-BR"/>
        </w:rPr>
        <w:t xml:space="preserve">A introdução de espécies forrageiras leguminosas de alto valor nutricional e elevado consumo voluntário pelos animais, permite atingir maiores ganhos zootécnicos </w:t>
      </w:r>
      <w:r>
        <w:fldChar w:fldCharType="begin"/>
      </w:r>
      <w:r>
        <w:rPr>
          <w:sz w:val="22"/>
          <w:szCs w:val="22"/>
          <w:rFonts w:eastAsia="TimesNewRomanPSMT" w:cs="Arial" w:ascii="Arial" w:hAnsi="Arial"/>
          <w:lang w:val="pt-BR"/>
        </w:rPr>
        <w:instrText xml:space="preserve">ADDIN CSL_CITATION {"citationItems":[{"id":"ITEM-1","itemData":{"DOI":"10.1590/S1516-35982010001300019","ISSN":"1516-3598","abstract":"Sheep and cattle farmers need pastoral systems that are more productive and environmentally sustainable. The role that high feeding value herb and legume forage species can play in the farms of the future is highlighted. It is shown that species such as chicory (Cichorium intybus), plantain (Plantago lanceolata), red clover (Trifolium pratense) and white clover (T.repens) can provide live weight gains in lambs that are 70% greater than those from perennial ryegrass (Lolium perenne) based pastures. A case for replicated experiments that examine the value of whole technology packages based on herb and legume species, rather than component research, is made.","author":[{"dropping-particle":"","family":"Kemp","given":"Peter David","non-dropping-particle":"","parse-names":false,"suffix":""},{"dropping-particle":"","family":"Kenyon","given":"Paul Richard","non-dropping-particle":"","parse-names":false,"suffix":""},{"dropping-particle":"","family":"Morris","given":"Stephen Todd","non-dropping-particle":"","parse-names":false,"suffix":""}],"container-title":"Revista Brasileira de Zootecnia","id":"ITEM-1","issue":"suppl spe","issued":{"date-parts":[["2010","7"]]},"page":"169-174","title":"The use of legume and herb forage species to create high performance pastures for sheep and cattle grazing systems","type":"article-journal","volume":"39"},"uris":["http://www.mendeley.com/documents/?uuid=dcece523-b852-42eb-8425-07cc822592d9"]}],"mendeley":{"formattedCitation":"(KEMP; KENYON; MORRIS, 2010)","plainTextFormattedCitation":"(KEMP; KENYON; MORRIS, 2010)","previouslyFormattedCitation":"(KEMP; KENYON; MORRIS, 2010)"},"properties":{"noteIndex":0},"schema":"https://github.com/citation-style-language/schema/raw/master/csl-citation.json"}</w:instrText>
      </w:r>
      <w:r>
        <w:rPr>
          <w:rFonts w:eastAsia="TimesNewRomanPSMT" w:cs="Arial" w:ascii="Arial" w:hAnsi="Arial"/>
          <w:sz w:val="22"/>
          <w:szCs w:val="22"/>
          <w:lang w:val="pt-BR"/>
        </w:rPr>
      </w:r>
      <w:r>
        <w:rPr>
          <w:sz w:val="22"/>
          <w:szCs w:val="22"/>
          <w:rFonts w:eastAsia="TimesNewRomanPSMT" w:cs="Arial" w:ascii="Arial" w:hAnsi="Arial"/>
          <w:lang w:val="pt-BR"/>
        </w:rPr>
        <w:fldChar w:fldCharType="separate"/>
      </w:r>
      <w:r>
        <w:rPr>
          <w:rFonts w:eastAsia="TimesNewRomanPSMT" w:cs="Arial" w:ascii="Arial" w:hAnsi="Arial"/>
          <w:sz w:val="22"/>
          <w:szCs w:val="22"/>
          <w:lang w:val="pt-BR"/>
        </w:rPr>
        <w:t>(KEMP; KENYON; MORRIS, 2010)</w:t>
      </w:r>
      <w:r>
        <w:rPr>
          <w:rFonts w:eastAsia="TimesNewRomanPSMT" w:cs="Arial" w:ascii="Arial" w:hAnsi="Arial"/>
          <w:sz w:val="22"/>
          <w:szCs w:val="22"/>
          <w:lang w:val="pt-BR"/>
        </w:rPr>
      </w:r>
      <w:r>
        <w:rPr>
          <w:sz w:val="22"/>
          <w:szCs w:val="22"/>
          <w:rFonts w:eastAsia="TimesNewRomanPSMT" w:cs="Arial" w:ascii="Arial" w:hAnsi="Arial"/>
          <w:lang w:val="pt-BR"/>
        </w:rPr>
        <w:fldChar w:fldCharType="end"/>
      </w:r>
      <w:r>
        <w:rPr>
          <w:rFonts w:eastAsia="TimesNewRomanPSMT" w:cs="Arial" w:ascii="Arial" w:hAnsi="Arial"/>
          <w:sz w:val="22"/>
          <w:szCs w:val="22"/>
          <w:lang w:val="pt-BR"/>
        </w:rPr>
        <w:t xml:space="preserve"> quando comparado a sistemas alimentares baseados exclusivamente em gramíneas. Além disso, as leguminosas reduzem a necessidade de utilização de nitrogênio (N) sintético na pastagem, diminuindo o uso de fontes de energia não renováveis </w:t>
      </w:r>
      <w:r>
        <w:fldChar w:fldCharType="begin"/>
      </w:r>
      <w:r>
        <w:rPr>
          <w:sz w:val="22"/>
          <w:szCs w:val="22"/>
          <w:rFonts w:eastAsia="TimesNewRomanPSMT" w:cs="Arial" w:ascii="Arial" w:hAnsi="Arial"/>
          <w:lang w:val="pt-BR"/>
        </w:rPr>
        <w:instrText xml:space="preserve">ADDIN CSL_CITATION {"citationItems":[{"id":"ITEM-1","itemData":{"DOI":"10.1017/S1751731111001030","ISBN":"1751731111","ISSN":"17517311","abstract":"The 'Organic' product label guarantees a production process that avoids the use of synthetic fertilisers, pesticides and hormones and minimises recourse to pharmaceuticals or veterinary drugs; however, the product's quality remains an issue that needs to be addressed in response to consumer demand. Consequently, this study was conducted to compare the sensory and nutritional qualities of meat and carcasses from pasture-fed lambs reared organically (O) or conventionally (C). Mean lamb growth profile was kept similar between the two treatments to avoid confounding effects with lamb age or weight at slaughter. The experiment was conducted over 3 years (2005 to 2007) with 12 O and 12 C lambs each year. The O and C treatments differed in the level of on-pasture mineral N fertilisation inducing a higher proportion of white clover in the organic pasture than the conventional pasture. Lambs were slaughtered when they attained a fat class of 2 to 3, and carcass and meat quality were evaluated. Lambs were slaughtered at an average weight and age of 35.3 kg and 156 days in the O treatment, respectively, and 35.2 kg and 155 days in the C treatment, respectively. Sensory evaluation indicated that loin chops from the O treatment had a higher level of abnormal fat odour compared with the C treatment. Carcasses from the O treatment had a softer subcutaneous fat one among 3 years (2007) compared to the C treatment. These results are probably due to a higher proportion of white clover in the diet. Organically reared lambs did offer the slight advantage of muscle fatty acid containing a higher level of stearic acid, which may have positive effects in the prevention of cardiovascular disease in humans. This may be the result of a higher rumen bio-hydrogenation of C18:3n-3 due to differences in the botanical composition between the O and the C pasture. Production system had no effect on the colour characteristics of the meat and subcutaneous fat, except lightness of subcutaneous dorsal fat, which was slightly higher in the O lambs. There were no differences between O and C lambs in terms of colour stability and lipid oxidation of the meat during the 6-day refrigerated storage under gas-permeable film. © 2011 The Animal Consortium.","author":[{"dropping-particle":"","family":"Prache","given":"S.","non-dropping-particle":"","parse-names":false,"suffix":""},{"dropping-particle":"","family":"Gatellier","given":"P.","non-dropping-particle":"","parse-names":false,"suffix":""},{"dropping-particle":"","family":"Thomas","given":"A.","non-dropping-particle":"","parse-names":false,"suffix":""},{"dropping-particle":"","family":"Picard","given":"B.","non-dropping-particle":"","parse-names":false,"suffix":""},{"dropping-particle":"","family":"Bauchart","given":"D.","non-dropping-particle":"","parse-names":false,"suffix":""}],"container-title":"Animal","id":"ITEM-1","issue":"12","issued":{"date-parts":[["2011"]]},"page":"2001-2009","title":"Comparison of meat and carcass quality in organically reared and conventionally reared pasture-fed lambs","type":"article-journal","volume":"5"},"uris":["http://www.mendeley.com/documents/?uuid=a8ff4261-b91f-47d9-ab17-0fe25307a963"]}],"mendeley":{"formattedCitation":"(PRACHE &lt;i&gt;et al.&lt;/i&gt;, 2011)","plainTextFormattedCitation":"(PRACHE et al., 2011)","previouslyFormattedCitation":"(PRACHE &lt;i&gt;et al.&lt;/i&gt;, 2011)"},"properties":{"noteIndex":0},"schema":"https://github.com/citation-style-language/schema/raw/master/csl-citation.json"}</w:instrText>
      </w:r>
      <w:r>
        <w:rPr>
          <w:rFonts w:eastAsia="TimesNewRomanPSMT" w:cs="Arial" w:ascii="Arial" w:hAnsi="Arial"/>
          <w:sz w:val="22"/>
          <w:szCs w:val="22"/>
          <w:lang w:val="pt-BR"/>
        </w:rPr>
      </w:r>
      <w:r>
        <w:rPr>
          <w:sz w:val="22"/>
          <w:szCs w:val="22"/>
          <w:rFonts w:eastAsia="TimesNewRomanPSMT" w:cs="Arial" w:ascii="Arial" w:hAnsi="Arial"/>
          <w:lang w:val="pt-BR"/>
        </w:rPr>
        <w:fldChar w:fldCharType="separate"/>
      </w:r>
      <w:r>
        <w:rPr>
          <w:rFonts w:eastAsia="TimesNewRomanPSMT" w:cs="Arial" w:ascii="Arial" w:hAnsi="Arial"/>
          <w:sz w:val="22"/>
          <w:szCs w:val="22"/>
          <w:lang w:val="pt-BR"/>
        </w:rPr>
        <w:t xml:space="preserve">(PRACHE </w:t>
      </w:r>
      <w:r>
        <w:rPr>
          <w:rFonts w:eastAsia="TimesNewRomanPSMT" w:cs="Arial" w:ascii="Arial" w:hAnsi="Arial"/>
          <w:i/>
          <w:sz w:val="22"/>
          <w:szCs w:val="22"/>
          <w:lang w:val="pt-BR"/>
        </w:rPr>
        <w:t>et al.</w:t>
      </w:r>
      <w:r>
        <w:rPr>
          <w:rFonts w:eastAsia="TimesNewRomanPSMT" w:cs="Arial" w:ascii="Arial" w:hAnsi="Arial"/>
          <w:sz w:val="22"/>
          <w:szCs w:val="22"/>
          <w:lang w:val="pt-BR"/>
        </w:rPr>
        <w:t>, 2011)</w:t>
      </w:r>
      <w:r>
        <w:rPr>
          <w:rFonts w:eastAsia="TimesNewRomanPSMT" w:cs="Arial" w:ascii="Arial" w:hAnsi="Arial"/>
          <w:sz w:val="22"/>
          <w:szCs w:val="22"/>
          <w:lang w:val="pt-BR"/>
        </w:rPr>
      </w:r>
      <w:r>
        <w:rPr>
          <w:sz w:val="22"/>
          <w:szCs w:val="22"/>
          <w:rFonts w:eastAsia="TimesNewRomanPSMT" w:cs="Arial" w:ascii="Arial" w:hAnsi="Arial"/>
          <w:lang w:val="pt-BR"/>
        </w:rPr>
        <w:fldChar w:fldCharType="end"/>
      </w:r>
      <w:r>
        <w:rPr>
          <w:rFonts w:eastAsia="TimesNewRomanPSMT" w:cs="Arial" w:ascii="Arial" w:hAnsi="Arial"/>
          <w:sz w:val="22"/>
          <w:szCs w:val="22"/>
          <w:lang w:val="pt-BR"/>
        </w:rPr>
        <w:t xml:space="preserve">. </w:t>
      </w:r>
      <w:r>
        <w:rPr>
          <w:rFonts w:cs="Arial" w:ascii="Arial" w:hAnsi="Arial"/>
          <w:sz w:val="22"/>
          <w:szCs w:val="22"/>
          <w:lang w:val="pt-BR"/>
        </w:rPr>
        <w:t>Contudo, o</w:t>
      </w:r>
      <w:r>
        <w:rPr>
          <w:rFonts w:eastAsia="TimesNewRomanPSMT" w:cs="Arial" w:ascii="Arial" w:hAnsi="Arial"/>
          <w:sz w:val="22"/>
          <w:szCs w:val="22"/>
          <w:lang w:val="pt-BR"/>
        </w:rPr>
        <w:t xml:space="preserve"> fornecimento concomitante de duas forragens, sendo uma gramínea e outra leguminosa, pode apresentar diferentes respostas sobre o valor alimentar dessa mistura </w:t>
      </w:r>
      <w:r>
        <w:fldChar w:fldCharType="begin"/>
      </w:r>
      <w:r>
        <w:rPr>
          <w:sz w:val="22"/>
          <w:szCs w:val="22"/>
          <w:rFonts w:eastAsia="TimesNewRomanPSMT" w:cs="Arial" w:ascii="Arial" w:hAnsi="Arial"/>
          <w:lang w:val="pt-BR"/>
        </w:rPr>
        <w:instrText xml:space="preserve">ADDIN CSL_CITATION {"citationItems":[{"id":"ITEM-1","itemData":{"DOI":"10.1017/S1751731109004261","ISSN":"1751-7311","PMID":"22444815","abstract":"The feeding value of forage mixtures from permanent and temporary multi-species grasslands cannot always be precisely defined. Indeed, the digestibility and feed intake of a combination of forages can differ from the balanced median values calculated from forages considered separately. In order to present an overview of the associative effects between forages on digestion and intake, a literature study was carried out. The associative effects can be studied in a complementary way in vitro to test digestive interactions of a large number of mixtures and to carry out explanatory experiments, and in vivo to investigate intake and digestion at the whole animal scale. We identified three main situations in which interactions between forages can lead to associative effects on intake and digestion: (i) increased intake that can be observed with grass and legume association can be explained by fast digestion of the soluble fraction of legumes, and a higher rate of particle breakdown and passage through the rumen, (ii) increased digestion when a poor forage is supplemented by a high nitrogen content plant can be explained by stimulation of the microbial activity and (iii) modification of digestive processes in the rumen, including proteolysis and methane production when certain bioactive secondary metabolites such as tannins, saponins or polyphenol oxidase are present. According to the type and concentration of these compounds in the diet, the effects can be favourable or unfavourable on intake and digestive parameters. Reported associative effects between forages show a large variability among studies. This reflects the complexity and multiplicity of nutritional situations affecting intake and the rumen function in a given animal. In order to provide more reliable information, further accumulation of data combining in vitro and in vivo studies is required. A better understanding of the associative effects between forages could help to optimise feed use efficiency, resulting in greater productivity, a reduction of the environmental impact of animal emissions and more sustainable animal production.","author":[{"dropping-particle":"","family":"Niderkorn","given":"V.","non-dropping-particle":"","parse-names":false,"suffix":""},{"dropping-particle":"","family":"Baumont","given":"R.","non-dropping-particle":"","parse-names":false,"suffix":""}],"container-title":"Animal","id":"ITEM-1","issued":{"date-parts":[["2009"]]},"page":"951","title":"Associative effects between forages on feed intake and digestion in ruminants","type":"article-journal","volume":"3"},"uris":["http://www.mendeley.com/documents/?uuid=713a9f5d-829b-4566-8ab2-97d4ba39c36d"]}],"mendeley":{"formattedCitation":"(NIDERKORN; BAUMONT, 2009)","plainTextFormattedCitation":"(NIDERKORN; BAUMONT, 2009)","previouslyFormattedCitation":"(NIDERKORN; BAUMONT, 2009)"},"properties":{"noteIndex":0},"schema":"https://github.com/citation-style-language/schema/raw/master/csl-citation.json"}</w:instrText>
      </w:r>
      <w:r>
        <w:rPr>
          <w:rFonts w:eastAsia="TimesNewRomanPSMT" w:cs="Arial" w:ascii="Arial" w:hAnsi="Arial"/>
          <w:sz w:val="22"/>
          <w:szCs w:val="22"/>
          <w:lang w:val="pt-BR"/>
        </w:rPr>
      </w:r>
      <w:r>
        <w:rPr>
          <w:sz w:val="22"/>
          <w:szCs w:val="22"/>
          <w:rFonts w:eastAsia="TimesNewRomanPSMT" w:cs="Arial" w:ascii="Arial" w:hAnsi="Arial"/>
          <w:lang w:val="pt-BR"/>
        </w:rPr>
        <w:fldChar w:fldCharType="separate"/>
      </w:r>
      <w:r>
        <w:rPr>
          <w:rFonts w:eastAsia="TimesNewRomanPSMT" w:cs="Arial" w:ascii="Arial" w:hAnsi="Arial"/>
          <w:sz w:val="22"/>
          <w:szCs w:val="22"/>
          <w:lang w:val="pt-BR"/>
        </w:rPr>
        <w:t>(NIDERKORN; BAUMONT, 2009)</w:t>
      </w:r>
      <w:r>
        <w:rPr>
          <w:rFonts w:eastAsia="TimesNewRomanPSMT" w:cs="Arial" w:ascii="Arial" w:hAnsi="Arial"/>
          <w:sz w:val="22"/>
          <w:szCs w:val="22"/>
          <w:lang w:val="pt-BR"/>
        </w:rPr>
      </w:r>
      <w:r>
        <w:rPr>
          <w:sz w:val="22"/>
          <w:szCs w:val="22"/>
          <w:rFonts w:eastAsia="TimesNewRomanPSMT" w:cs="Arial" w:ascii="Arial" w:hAnsi="Arial"/>
          <w:lang w:val="pt-BR"/>
        </w:rPr>
        <w:fldChar w:fldCharType="end"/>
      </w:r>
      <w:r>
        <w:rPr>
          <w:rFonts w:eastAsia="TimesNewRomanPSMT" w:cs="Arial" w:ascii="Arial" w:hAnsi="Arial"/>
          <w:sz w:val="22"/>
          <w:szCs w:val="22"/>
          <w:lang w:val="pt-BR"/>
        </w:rPr>
        <w:t xml:space="preserve">. Isso ocorre porque a interação entre as diferentes espécies de forragem pode modificar os processos metabólicos, principalmente no rúmen. Como consequência, a digestibilidade e o consumo podem apresentar variações em função de efeitos associativos positivos ou negativos, aumentando ou diminuindo a resposta dessas variáveis em relação ao valor médio calculado para as forragens em separado. </w:t>
      </w:r>
      <w:r>
        <w:rPr>
          <w:rFonts w:cs="Arial" w:ascii="Arial" w:hAnsi="Arial"/>
          <w:sz w:val="22"/>
          <w:szCs w:val="22"/>
          <w:lang w:val="pt-BR"/>
        </w:rPr>
        <w:t>Ao mesmo tempo, a utilização do método de ensilagem tem se tornado indispensável na produção de alimentos para ruminantes, atuando tanto como suplemento ou base alimentar (BERNARD et al., 2002). Esse processo visa preservar a qualidade nutricional da forragem, o mais próximo dela in natura, utilizando de um ambiente anaeróbico, estabilizado através de bactérias fermentadoras (MUCK; KUNG; COLLINS, 2020). Objetivou-se gerar recomendações para inclusão de silagem de trevo branco (</w:t>
      </w:r>
      <w:r>
        <w:rPr>
          <w:rFonts w:cs="Arial" w:ascii="Arial" w:hAnsi="Arial"/>
          <w:i/>
          <w:iCs/>
          <w:sz w:val="22"/>
          <w:szCs w:val="22"/>
          <w:lang w:val="pt-BR"/>
        </w:rPr>
        <w:t>Trifolium repens</w:t>
      </w:r>
      <w:r>
        <w:rPr>
          <w:rFonts w:cs="Arial" w:ascii="Arial" w:hAnsi="Arial"/>
          <w:iCs/>
          <w:sz w:val="22"/>
          <w:szCs w:val="22"/>
          <w:lang w:val="pt-BR"/>
        </w:rPr>
        <w:t xml:space="preserve"> L.</w:t>
      </w:r>
      <w:r>
        <w:rPr>
          <w:rFonts w:cs="Arial" w:ascii="Arial" w:hAnsi="Arial"/>
          <w:sz w:val="22"/>
          <w:szCs w:val="22"/>
          <w:lang w:val="pt-BR"/>
        </w:rPr>
        <w:t xml:space="preserve">) na dieta de ruminantes a fim de maximizar o consumo de nutrientes e sua eficiência de uso. </w:t>
      </w:r>
    </w:p>
    <w:p>
      <w:pPr>
        <w:pStyle w:val="Normal"/>
        <w:jc w:val="both"/>
        <w:rPr>
          <w:rFonts w:ascii="Arial" w:hAnsi="Arial" w:cs="Arial"/>
          <w:sz w:val="20"/>
          <w:szCs w:val="20"/>
          <w:lang w:val="pt-BR"/>
        </w:rPr>
      </w:pPr>
      <w:r>
        <w:rPr>
          <w:rFonts w:cs="Arial" w:ascii="Arial" w:hAnsi="Arial"/>
          <w:sz w:val="20"/>
          <w:szCs w:val="20"/>
          <w:lang w:val="pt-BR"/>
        </w:rPr>
      </w:r>
    </w:p>
    <w:p>
      <w:pPr>
        <w:pStyle w:val="LOnormal"/>
        <w:jc w:val="both"/>
        <w:rPr>
          <w:rFonts w:ascii="Arial" w:hAnsi="Arial" w:eastAsia="TimesNewRomanPSMT" w:cs="Arial"/>
          <w:color w:val="auto"/>
          <w:sz w:val="22"/>
          <w:szCs w:val="22"/>
          <w:lang w:val="pt-BR"/>
        </w:rPr>
      </w:pPr>
      <w:bookmarkStart w:id="0" w:name="_headingh.30j0zll"/>
      <w:bookmarkEnd w:id="0"/>
      <w:r>
        <w:rPr>
          <w:rFonts w:ascii="Arial" w:hAnsi="Arial"/>
          <w:b/>
          <w:bCs/>
          <w:color w:val="auto"/>
          <w:sz w:val="22"/>
          <w:szCs w:val="22"/>
          <w:lang w:val="pt-BR"/>
        </w:rPr>
        <w:t>Material e métodos:</w:t>
      </w:r>
      <w:r>
        <w:rPr>
          <w:rFonts w:ascii="Arial" w:hAnsi="Arial"/>
          <w:color w:val="auto"/>
          <w:sz w:val="22"/>
          <w:szCs w:val="22"/>
          <w:lang w:val="pt-BR"/>
        </w:rPr>
        <w:t xml:space="preserve"> </w:t>
      </w:r>
      <w:r>
        <w:rPr>
          <w:rFonts w:eastAsia="Arial" w:cs="Arial" w:ascii="Arial" w:hAnsi="Arial"/>
          <w:color w:val="auto"/>
          <w:sz w:val="22"/>
          <w:szCs w:val="22"/>
          <w:lang w:val="pt-BR"/>
        </w:rPr>
        <w:t xml:space="preserve">O experimento foi realizado na Estação Experimental de Lages pertencente a Epagri, de março a maio de 2023. O modelo animal </w:t>
      </w:r>
      <w:r>
        <w:rPr>
          <w:rFonts w:cs="Arial" w:ascii="Arial" w:hAnsi="Arial"/>
          <w:color w:val="auto"/>
          <w:sz w:val="22"/>
          <w:szCs w:val="22"/>
          <w:lang w:val="pt-BR"/>
        </w:rPr>
        <w:t>foram ovinos, sendo utilizados oito cordeiros machos castrados, alojados em gaiolas metabólicas e distribuídos num delineamento experimental em duplo Quadrado latino, dividido em quatro períodos de quinze dias, sendo dez dias de adaptação e cinco de coleta de dados e amostras. A dieta basal foi composta de silagem de azevém anual (</w:t>
      </w:r>
      <w:r>
        <w:rPr>
          <w:rFonts w:cs="Arial" w:ascii="Arial" w:hAnsi="Arial"/>
          <w:i/>
          <w:color w:val="auto"/>
          <w:sz w:val="22"/>
          <w:szCs w:val="22"/>
          <w:lang w:val="pt-BR"/>
        </w:rPr>
        <w:t>Lolium multiflorum</w:t>
      </w:r>
      <w:r>
        <w:rPr>
          <w:rFonts w:cs="Arial" w:ascii="Arial" w:hAnsi="Arial"/>
          <w:color w:val="auto"/>
          <w:sz w:val="22"/>
          <w:szCs w:val="22"/>
          <w:lang w:val="pt-BR"/>
        </w:rPr>
        <w:t>) com quatro níveis de inclusão de silagem de trevo branco (</w:t>
      </w:r>
      <w:r>
        <w:rPr>
          <w:rFonts w:cs="Arial" w:ascii="Arial" w:hAnsi="Arial"/>
          <w:i/>
          <w:color w:val="auto"/>
          <w:sz w:val="22"/>
          <w:szCs w:val="22"/>
          <w:lang w:val="pt-BR"/>
        </w:rPr>
        <w:t>Trifolium repens</w:t>
      </w:r>
      <w:r>
        <w:rPr>
          <w:rFonts w:cs="Arial" w:ascii="Arial" w:hAnsi="Arial"/>
          <w:color w:val="auto"/>
          <w:sz w:val="22"/>
          <w:szCs w:val="22"/>
          <w:lang w:val="pt-BR"/>
        </w:rPr>
        <w:t xml:space="preserve">): 0%, 20%, 40% e 60% com base na matéria seca (MS) dos alimentos. A dieta foi ofertada </w:t>
      </w:r>
      <w:r>
        <w:rPr>
          <w:rFonts w:cs="Arial" w:ascii="Arial" w:hAnsi="Arial"/>
          <w:i/>
          <w:iCs/>
          <w:color w:val="auto"/>
          <w:sz w:val="22"/>
          <w:szCs w:val="22"/>
          <w:lang w:val="pt-BR"/>
        </w:rPr>
        <w:t>ad libitum</w:t>
      </w:r>
      <w:r>
        <w:rPr>
          <w:rFonts w:cs="Arial" w:ascii="Arial" w:hAnsi="Arial"/>
          <w:color w:val="auto"/>
          <w:sz w:val="22"/>
          <w:szCs w:val="22"/>
          <w:lang w:val="pt-BR"/>
        </w:rPr>
        <w:t xml:space="preserve"> (com 10% sobras) em duas porções, às 8h30min e 18h, ajustada diariamente com base no consumo do dia anterior. Durante os cinco últimos dias de cada período foram coletadas amostras da forragem oferecida e das sobras, constituindo-se uma amostra composta do oferecido por tratamento e período, além de uma amostra composta das sobras por animal por período. As fezes produzidas por cada animal, no mesmo período, também foram pesadas e amostradas. Todas as amostras passaram por um processo de secagem em estufa de ventilação forçada a 55°C por 72 horas para análises posteriores. </w:t>
      </w:r>
      <w:r>
        <w:rPr>
          <w:rFonts w:eastAsia="TimesNewRomanPSMT" w:cs="Arial" w:ascii="Arial" w:hAnsi="Arial"/>
          <w:color w:val="auto"/>
          <w:sz w:val="22"/>
          <w:szCs w:val="22"/>
          <w:lang w:val="pt-BR"/>
        </w:rPr>
        <w:t>O volume de urina produzida individualmente foi mensurado diariamente e uma amostra de 1% do total de cada animal foi coletado e transferido para balões volumétricos de 200 mL, sendo completado o volume com água destilada e congelados para posterior análise. O teor de MS do ofertado, sobras e fezes foi determinado por secagem em estufa a 105°C por 16 h. O conteúdo de cinzas foi determinado por combustão a 600°C durante 4 h. O N total das amostras de ofertas, sobras e fezes foi determinado por combustão conforme o método de Dumas, utilizando o analisador de N LECOR FP528. O N presente na urina foi determinado pelo método Kjeldahl (AOAC., 1990). Os dados foram submetidos à análise de variância considerando os efeitos de animal, tratamento e período. Valores de P &lt; 0,05 foram considerados significativos e entre 0,05 e 0,10, foram considerados como tendência.</w:t>
      </w:r>
    </w:p>
    <w:p>
      <w:pPr>
        <w:pStyle w:val="LOnormal"/>
        <w:jc w:val="both"/>
        <w:rPr>
          <w:rFonts w:ascii="Arial" w:hAnsi="Arial" w:eastAsia="TimesNewRomanPSMT" w:cs="Arial"/>
          <w:color w:val="auto"/>
          <w:sz w:val="20"/>
          <w:szCs w:val="20"/>
          <w:lang w:val="pt-BR"/>
        </w:rPr>
      </w:pPr>
      <w:r>
        <w:rPr>
          <w:rFonts w:eastAsia="TimesNewRomanPSMT" w:cs="Arial" w:ascii="Arial" w:hAnsi="Arial"/>
          <w:color w:val="auto"/>
          <w:sz w:val="20"/>
          <w:szCs w:val="20"/>
          <w:lang w:val="pt-BR"/>
        </w:rPr>
      </w:r>
    </w:p>
    <w:p>
      <w:pPr>
        <w:pStyle w:val="LOnormal"/>
        <w:jc w:val="both"/>
        <w:rPr>
          <w:rFonts w:ascii="Arial" w:hAnsi="Arial"/>
          <w:b/>
          <w:b/>
          <w:bCs/>
          <w:color w:val="000000" w:themeColor="text1"/>
          <w:sz w:val="22"/>
          <w:szCs w:val="22"/>
          <w:lang w:val="pt-BR"/>
        </w:rPr>
      </w:pPr>
      <w:r>
        <w:rPr>
          <w:rFonts w:ascii="Arial" w:hAnsi="Arial"/>
          <w:b/>
          <w:bCs/>
          <w:color w:val="000000"/>
          <w:sz w:val="22"/>
          <w:szCs w:val="22"/>
          <w:u w:val="none" w:color="000000"/>
          <w:lang w:val="pt-BR"/>
        </w:rPr>
        <w:t>Resultados e discussões:</w:t>
      </w:r>
      <w:r>
        <w:rPr>
          <w:rFonts w:ascii="Arial" w:hAnsi="Arial"/>
          <w:color w:val="000000"/>
          <w:sz w:val="22"/>
          <w:szCs w:val="22"/>
          <w:u w:val="none" w:color="000000"/>
          <w:lang w:val="pt-BR"/>
        </w:rPr>
        <w:t xml:space="preserve"> O consumo de MS tendeu (</w:t>
      </w:r>
      <w:r>
        <w:rPr>
          <w:rFonts w:ascii="Arial" w:hAnsi="Arial"/>
          <w:i/>
          <w:iCs/>
          <w:color w:val="000000"/>
          <w:sz w:val="22"/>
          <w:szCs w:val="22"/>
          <w:u w:val="none" w:color="000000"/>
          <w:lang w:val="pt-BR"/>
        </w:rPr>
        <w:t>P</w:t>
      </w:r>
      <w:r>
        <w:rPr>
          <w:rFonts w:ascii="Arial" w:hAnsi="Arial"/>
          <w:color w:val="000000"/>
          <w:sz w:val="22"/>
          <w:szCs w:val="22"/>
          <w:u w:val="none" w:color="000000"/>
          <w:lang w:val="pt-BR"/>
        </w:rPr>
        <w:t xml:space="preserve"> = 0,081) a aumentar e o consumo de proteína bruta (PB) aumentou (P &lt; 0,01) com a inclusão de até 40% de silagem de trevo branco em comparação aos tratamentos com menores níveis de inclusão (Tabela 1). O consumo de PB foi semelhante nos tratamentos com 40 e 60% de leguminosa, mas a eficiência de uso do N reduziu no nível mais alto de inclusão. No mesmo sentido, a digestibilidade da MS e da matéria orgânica (MO) reduziram (P &lt; 0,01) com a inclusão de 60% de silagem de trevo em comparação aos demais tratamentos, mas o consumo de MS e MO digestíveis não diferiram entre os tratamentos, evidenciando que a tendência de aumento no consumo foi suficiente para compensar as reduções na digestibilidade. Estes resultados concordam parcialmente com os observados por Dall-Orsoletta </w:t>
      </w:r>
      <w:r>
        <w:rPr>
          <w:rFonts w:ascii="Arial" w:hAnsi="Arial"/>
          <w:i/>
          <w:color w:val="000000"/>
          <w:sz w:val="22"/>
          <w:szCs w:val="22"/>
          <w:u w:val="none" w:color="000000"/>
          <w:lang w:val="pt-BR"/>
        </w:rPr>
        <w:t>et al</w:t>
      </w:r>
      <w:r>
        <w:rPr>
          <w:rFonts w:ascii="Arial" w:hAnsi="Arial"/>
          <w:color w:val="000000"/>
          <w:sz w:val="22"/>
          <w:szCs w:val="22"/>
          <w:u w:val="none" w:color="000000"/>
          <w:lang w:val="pt-BR"/>
        </w:rPr>
        <w:t xml:space="preserve">. (2017). Os autores observaram que a inclusão de feno de uma leguminosa de clima tropical (amendoim forrageiro) numa dieta à base de gramínea (capim elefante anão) aumentou o consumo de MO digestível em consequência de aumentos no consumo de MS e MO, independente de reduções na digestibilidade da MO à medida que aumentou o nível de inclusão da leguminosa. </w:t>
      </w:r>
    </w:p>
    <w:p>
      <w:pPr>
        <w:pStyle w:val="LOnormal"/>
        <w:jc w:val="both"/>
        <w:rPr>
          <w:rFonts w:ascii="Arial" w:hAnsi="Arial"/>
          <w:color w:val="000000"/>
          <w:sz w:val="20"/>
          <w:szCs w:val="20"/>
          <w:lang w:val="pt-BR"/>
        </w:rPr>
      </w:pPr>
      <w:r>
        <w:rPr>
          <w:rFonts w:ascii="Arial" w:hAnsi="Arial"/>
          <w:color w:val="000000"/>
          <w:sz w:val="20"/>
          <w:szCs w:val="20"/>
          <w:lang w:val="pt-BR"/>
        </w:rPr>
      </w:r>
    </w:p>
    <w:p>
      <w:pPr>
        <w:pStyle w:val="Normal"/>
        <w:jc w:val="both"/>
        <w:rPr>
          <w:rFonts w:ascii="Arial" w:hAnsi="Arial" w:cs="Arial"/>
          <w:b/>
          <w:b/>
          <w:bCs/>
          <w:sz w:val="22"/>
          <w:szCs w:val="22"/>
          <w:lang w:val="pt-BR"/>
        </w:rPr>
      </w:pPr>
      <w:r>
        <w:rPr>
          <w:rFonts w:cs="Arial" w:ascii="Arial" w:hAnsi="Arial"/>
          <w:b/>
          <w:bCs/>
          <w:sz w:val="22"/>
          <w:szCs w:val="22"/>
          <w:lang w:val="pt-BR"/>
        </w:rPr>
        <w:t xml:space="preserve">Tabela 1. Consumo e utilização dos nutrientes de silagens de azevém anual </w:t>
      </w:r>
      <w:r>
        <w:rPr>
          <w:rFonts w:cs="Arial" w:ascii="Arial" w:hAnsi="Arial"/>
          <w:b/>
          <w:bCs/>
          <w:i/>
          <w:sz w:val="22"/>
          <w:szCs w:val="22"/>
          <w:lang w:val="pt-BR"/>
        </w:rPr>
        <w:t xml:space="preserve">(Lolium multiflorum </w:t>
      </w:r>
      <w:r>
        <w:rPr>
          <w:rFonts w:cs="Arial" w:ascii="Arial" w:hAnsi="Arial"/>
          <w:b/>
          <w:bCs/>
          <w:sz w:val="22"/>
          <w:szCs w:val="22"/>
          <w:lang w:val="pt-BR"/>
        </w:rPr>
        <w:t xml:space="preserve">L.) com a inclusão de diferentes porcentagens de silagem de trevo-branco </w:t>
      </w:r>
      <w:r>
        <w:rPr>
          <w:rFonts w:cs="Arial" w:ascii="Arial" w:hAnsi="Arial"/>
          <w:b/>
          <w:bCs/>
          <w:i/>
          <w:sz w:val="22"/>
          <w:szCs w:val="22"/>
          <w:lang w:val="pt-BR"/>
        </w:rPr>
        <w:t>(Trifolium repens</w:t>
      </w:r>
      <w:r>
        <w:rPr>
          <w:rFonts w:cs="Arial" w:ascii="Arial" w:hAnsi="Arial"/>
          <w:b/>
          <w:bCs/>
          <w:sz w:val="22"/>
          <w:szCs w:val="22"/>
          <w:lang w:val="pt-BR"/>
        </w:rPr>
        <w:t>) na dieta de cordeiros.</w:t>
      </w:r>
    </w:p>
    <w:tbl>
      <w:tblPr>
        <w:tblW w:w="940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551"/>
        <w:gridCol w:w="1134"/>
        <w:gridCol w:w="1136"/>
        <w:gridCol w:w="992"/>
        <w:gridCol w:w="1094"/>
        <w:gridCol w:w="1158"/>
        <w:gridCol w:w="1339"/>
      </w:tblGrid>
      <w:tr>
        <w:trPr>
          <w:trHeight w:val="267" w:hRule="atLeast"/>
        </w:trPr>
        <w:tc>
          <w:tcPr>
            <w:tcW w:w="2551" w:type="dxa"/>
            <w:tcBorders>
              <w:top w:val="single" w:sz="4" w:space="0" w:color="000000"/>
            </w:tcBorders>
            <w:shd w:color="auto" w:fill="auto" w:val="clear"/>
          </w:tcPr>
          <w:p>
            <w:pPr>
              <w:pStyle w:val="Normal"/>
              <w:widowControl w:val="false"/>
              <w:rPr>
                <w:rFonts w:ascii="Arial" w:hAnsi="Arial" w:cs="Arial"/>
                <w:kern w:val="2"/>
                <w:sz w:val="22"/>
                <w:szCs w:val="22"/>
                <w:lang w:val="pt-BR"/>
              </w:rPr>
            </w:pPr>
            <w:r>
              <w:rPr>
                <w:rFonts w:cs="Arial" w:ascii="Arial" w:hAnsi="Arial"/>
                <w:kern w:val="2"/>
                <w:sz w:val="22"/>
                <w:szCs w:val="22"/>
                <w:lang w:val="pt-BR"/>
              </w:rPr>
            </w:r>
          </w:p>
        </w:tc>
        <w:tc>
          <w:tcPr>
            <w:tcW w:w="4356" w:type="dxa"/>
            <w:gridSpan w:val="4"/>
            <w:tcBorders>
              <w:top w:val="single" w:sz="4" w:space="0" w:color="000000"/>
              <w:bottom w:val="single" w:sz="4" w:space="0" w:color="000000"/>
            </w:tcBorders>
            <w:shd w:color="auto" w:fill="auto" w:val="clea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Tratamento</w:t>
            </w:r>
            <w:r>
              <w:rPr>
                <w:rFonts w:cs="Arial" w:ascii="Arial" w:hAnsi="Arial"/>
                <w:color w:val="000000"/>
                <w:kern w:val="2"/>
                <w:sz w:val="22"/>
                <w:szCs w:val="22"/>
                <w:vertAlign w:val="superscript"/>
                <w:lang w:val="pt-BR"/>
              </w:rPr>
              <w:t>1</w:t>
            </w:r>
          </w:p>
        </w:tc>
        <w:tc>
          <w:tcPr>
            <w:tcW w:w="1158" w:type="dxa"/>
            <w:tcBorders>
              <w:top w:val="single" w:sz="4" w:space="0" w:color="000000"/>
            </w:tcBorders>
            <w:shd w:color="auto" w:fill="auto" w:val="clear"/>
          </w:tcPr>
          <w:p>
            <w:pPr>
              <w:pStyle w:val="Normal"/>
              <w:widowControl w:val="false"/>
              <w:rPr>
                <w:rFonts w:ascii="Arial" w:hAnsi="Arial" w:cs="Arial"/>
                <w:kern w:val="2"/>
                <w:sz w:val="22"/>
                <w:szCs w:val="22"/>
                <w:lang w:val="pt-BR"/>
              </w:rPr>
            </w:pPr>
            <w:r>
              <w:rPr>
                <w:rFonts w:cs="Arial" w:ascii="Arial" w:hAnsi="Arial"/>
                <w:kern w:val="2"/>
                <w:sz w:val="22"/>
                <w:szCs w:val="22"/>
                <w:lang w:val="pt-BR"/>
              </w:rPr>
            </w:r>
          </w:p>
        </w:tc>
        <w:tc>
          <w:tcPr>
            <w:tcW w:w="1339" w:type="dxa"/>
            <w:tcBorders>
              <w:top w:val="single" w:sz="4" w:space="0" w:color="000000"/>
            </w:tcBorders>
            <w:shd w:color="auto" w:fill="auto" w:val="clear"/>
          </w:tcPr>
          <w:p>
            <w:pPr>
              <w:pStyle w:val="Normal"/>
              <w:widowControl w:val="false"/>
              <w:rPr>
                <w:rFonts w:ascii="Arial" w:hAnsi="Arial" w:cs="Arial"/>
                <w:kern w:val="2"/>
                <w:sz w:val="22"/>
                <w:szCs w:val="22"/>
                <w:lang w:val="pt-BR"/>
              </w:rPr>
            </w:pPr>
            <w:r>
              <w:rPr>
                <w:rFonts w:cs="Arial" w:ascii="Arial" w:hAnsi="Arial"/>
                <w:kern w:val="2"/>
                <w:sz w:val="22"/>
                <w:szCs w:val="22"/>
                <w:lang w:val="pt-BR"/>
              </w:rPr>
            </w:r>
          </w:p>
        </w:tc>
      </w:tr>
      <w:tr>
        <w:trPr>
          <w:trHeight w:val="267" w:hRule="atLeast"/>
        </w:trPr>
        <w:tc>
          <w:tcPr>
            <w:tcW w:w="2551" w:type="dxa"/>
            <w:tcBorders>
              <w:bottom w:val="single" w:sz="4" w:space="0" w:color="000000"/>
            </w:tcBorders>
            <w:shd w:color="auto" w:fill="auto" w:val="clear"/>
          </w:tcPr>
          <w:p>
            <w:pPr>
              <w:pStyle w:val="Normal"/>
              <w:widowControl w:val="false"/>
              <w:rPr>
                <w:rFonts w:ascii="Arial" w:hAnsi="Arial" w:cs="Arial"/>
                <w:kern w:val="2"/>
                <w:sz w:val="22"/>
                <w:szCs w:val="22"/>
                <w:lang w:val="pt-BR"/>
              </w:rPr>
            </w:pPr>
            <w:r>
              <w:rPr>
                <w:rFonts w:cs="Arial" w:ascii="Arial" w:hAnsi="Arial"/>
                <w:kern w:val="2"/>
                <w:sz w:val="22"/>
                <w:szCs w:val="22"/>
                <w:lang w:val="pt-BR"/>
              </w:rPr>
            </w:r>
          </w:p>
        </w:tc>
        <w:tc>
          <w:tcPr>
            <w:tcW w:w="1134" w:type="dxa"/>
            <w:tcBorders>
              <w:top w:val="single" w:sz="4" w:space="0" w:color="000000"/>
              <w:bottom w:val="single" w:sz="4" w:space="0" w:color="000000"/>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0%</w:t>
            </w:r>
          </w:p>
        </w:tc>
        <w:tc>
          <w:tcPr>
            <w:tcW w:w="1136" w:type="dxa"/>
            <w:tcBorders>
              <w:top w:val="single" w:sz="4" w:space="0" w:color="000000"/>
              <w:bottom w:val="single" w:sz="4" w:space="0" w:color="000000"/>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20%</w:t>
            </w:r>
          </w:p>
        </w:tc>
        <w:tc>
          <w:tcPr>
            <w:tcW w:w="992" w:type="dxa"/>
            <w:tcBorders>
              <w:top w:val="single" w:sz="4" w:space="0" w:color="000000"/>
              <w:bottom w:val="single" w:sz="4" w:space="0" w:color="000000"/>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40%</w:t>
            </w:r>
          </w:p>
        </w:tc>
        <w:tc>
          <w:tcPr>
            <w:tcW w:w="1094" w:type="dxa"/>
            <w:tcBorders>
              <w:top w:val="single" w:sz="4" w:space="0" w:color="000000"/>
              <w:bottom w:val="single" w:sz="4" w:space="0" w:color="000000"/>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60%</w:t>
            </w:r>
          </w:p>
        </w:tc>
        <w:tc>
          <w:tcPr>
            <w:tcW w:w="1158" w:type="dxa"/>
            <w:tcBorders>
              <w:bottom w:val="single" w:sz="4" w:space="0" w:color="000000"/>
            </w:tcBorders>
            <w:shd w:color="auto" w:fill="auto" w:val="clea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EPM</w:t>
            </w:r>
          </w:p>
        </w:tc>
        <w:tc>
          <w:tcPr>
            <w:tcW w:w="1339" w:type="dxa"/>
            <w:tcBorders>
              <w:bottom w:val="single" w:sz="4" w:space="0" w:color="000000"/>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 xml:space="preserve">Valor de </w:t>
            </w:r>
            <w:r>
              <w:rPr>
                <w:rFonts w:cs="Arial" w:ascii="Arial" w:hAnsi="Arial"/>
                <w:i/>
                <w:iCs/>
                <w:color w:val="000000"/>
                <w:kern w:val="2"/>
                <w:sz w:val="22"/>
                <w:szCs w:val="22"/>
                <w:lang w:val="pt-BR"/>
              </w:rPr>
              <w:t>P</w:t>
            </w:r>
          </w:p>
        </w:tc>
      </w:tr>
      <w:tr>
        <w:trPr>
          <w:trHeight w:val="267" w:hRule="atLeast"/>
        </w:trPr>
        <w:tc>
          <w:tcPr>
            <w:tcW w:w="2551" w:type="dxa"/>
            <w:tcBorders>
              <w:top w:val="single" w:sz="4" w:space="0" w:color="000000"/>
            </w:tcBorders>
            <w:shd w:color="auto" w:fill="auto" w:val="clear"/>
            <w:vAlign w:val="center"/>
          </w:tcPr>
          <w:p>
            <w:pPr>
              <w:pStyle w:val="Normal"/>
              <w:widowControl w:val="false"/>
              <w:rPr>
                <w:rFonts w:ascii="Arial" w:hAnsi="Arial" w:cs="Arial"/>
                <w:color w:val="000000"/>
                <w:kern w:val="2"/>
                <w:sz w:val="22"/>
                <w:szCs w:val="22"/>
                <w:lang w:val="pt-BR"/>
              </w:rPr>
            </w:pPr>
            <w:r>
              <w:rPr>
                <w:rFonts w:cs="Arial" w:ascii="Arial" w:hAnsi="Arial"/>
                <w:color w:val="000000"/>
                <w:kern w:val="2"/>
                <w:sz w:val="22"/>
                <w:szCs w:val="22"/>
                <w:lang w:val="pt-BR"/>
              </w:rPr>
              <w:t>Consumo (g/dia)</w:t>
            </w:r>
          </w:p>
        </w:tc>
        <w:tc>
          <w:tcPr>
            <w:tcW w:w="1134" w:type="dxa"/>
            <w:tcBorders>
              <w:top w:val="single" w:sz="4" w:space="0" w:color="000000"/>
            </w:tcBorders>
            <w:shd w:color="auto" w:fill="auto" w:val="clear"/>
            <w:vAlign w:val="center"/>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r>
          </w:p>
        </w:tc>
        <w:tc>
          <w:tcPr>
            <w:tcW w:w="1136" w:type="dxa"/>
            <w:tcBorders>
              <w:top w:val="single" w:sz="4" w:space="0" w:color="000000"/>
            </w:tcBorders>
            <w:shd w:color="auto" w:fill="auto" w:val="clear"/>
            <w:vAlign w:val="center"/>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r>
          </w:p>
        </w:tc>
        <w:tc>
          <w:tcPr>
            <w:tcW w:w="992" w:type="dxa"/>
            <w:tcBorders>
              <w:top w:val="single" w:sz="4" w:space="0" w:color="000000"/>
            </w:tcBorders>
            <w:shd w:color="auto" w:fill="auto" w:val="clear"/>
            <w:vAlign w:val="center"/>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r>
          </w:p>
        </w:tc>
        <w:tc>
          <w:tcPr>
            <w:tcW w:w="1094" w:type="dxa"/>
            <w:tcBorders>
              <w:top w:val="single" w:sz="4" w:space="0" w:color="000000"/>
            </w:tcBorders>
            <w:shd w:color="auto" w:fill="auto" w:val="clear"/>
            <w:vAlign w:val="center"/>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r>
          </w:p>
        </w:tc>
        <w:tc>
          <w:tcPr>
            <w:tcW w:w="1158" w:type="dxa"/>
            <w:tcBorders>
              <w:top w:val="single" w:sz="4" w:space="0" w:color="000000"/>
            </w:tcBorders>
            <w:shd w:color="auto" w:fill="auto" w:val="clear"/>
            <w:vAlign w:val="bottom"/>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r>
          </w:p>
        </w:tc>
        <w:tc>
          <w:tcPr>
            <w:tcW w:w="1339" w:type="dxa"/>
            <w:tcBorders>
              <w:top w:val="single" w:sz="4" w:space="0" w:color="000000"/>
            </w:tcBorders>
            <w:shd w:color="auto" w:fill="auto" w:val="clear"/>
            <w:vAlign w:val="bottom"/>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r>
          </w:p>
        </w:tc>
      </w:tr>
      <w:tr>
        <w:trPr>
          <w:trHeight w:val="267" w:hRule="atLeast"/>
        </w:trPr>
        <w:tc>
          <w:tcPr>
            <w:tcW w:w="2551" w:type="dxa"/>
            <w:tcBorders/>
            <w:shd w:color="auto" w:fill="auto" w:val="clear"/>
            <w:vAlign w:val="center"/>
          </w:tcPr>
          <w:p>
            <w:pPr>
              <w:pStyle w:val="Normal"/>
              <w:widowControl w:val="false"/>
              <w:ind w:left="177" w:hanging="0"/>
              <w:rPr>
                <w:rFonts w:ascii="Arial" w:hAnsi="Arial" w:cs="Arial"/>
                <w:kern w:val="2"/>
                <w:sz w:val="22"/>
                <w:szCs w:val="22"/>
                <w:lang w:val="pt-BR"/>
              </w:rPr>
            </w:pPr>
            <w:r>
              <w:rPr>
                <w:rFonts w:cs="Arial" w:ascii="Arial" w:hAnsi="Arial"/>
                <w:color w:val="000000"/>
                <w:kern w:val="2"/>
                <w:sz w:val="22"/>
                <w:szCs w:val="22"/>
                <w:lang w:val="pt-BR"/>
              </w:rPr>
              <w:t xml:space="preserve">Matéria seca </w:t>
            </w:r>
          </w:p>
        </w:tc>
        <w:tc>
          <w:tcPr>
            <w:tcW w:w="1134"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801</w:t>
            </w:r>
          </w:p>
        </w:tc>
        <w:tc>
          <w:tcPr>
            <w:tcW w:w="1136"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786</w:t>
            </w:r>
          </w:p>
        </w:tc>
        <w:tc>
          <w:tcPr>
            <w:tcW w:w="992"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886</w:t>
            </w:r>
          </w:p>
        </w:tc>
        <w:tc>
          <w:tcPr>
            <w:tcW w:w="1094"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893</w:t>
            </w:r>
          </w:p>
        </w:tc>
        <w:tc>
          <w:tcPr>
            <w:tcW w:w="1158" w:type="dxa"/>
            <w:tcBorders/>
            <w:shd w:color="auto" w:fill="auto" w:val="clear"/>
            <w:vAlign w:val="bottom"/>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97,4</w:t>
            </w:r>
          </w:p>
        </w:tc>
        <w:tc>
          <w:tcPr>
            <w:tcW w:w="1339" w:type="dxa"/>
            <w:tcBorders/>
            <w:shd w:color="auto" w:fill="auto" w:val="clear"/>
            <w:vAlign w:val="bottom"/>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0,081</w:t>
            </w:r>
          </w:p>
        </w:tc>
      </w:tr>
      <w:tr>
        <w:trPr>
          <w:trHeight w:val="267" w:hRule="atLeast"/>
        </w:trPr>
        <w:tc>
          <w:tcPr>
            <w:tcW w:w="2551" w:type="dxa"/>
            <w:tcBorders/>
            <w:shd w:color="auto" w:fill="auto" w:val="clear"/>
            <w:vAlign w:val="center"/>
          </w:tcPr>
          <w:p>
            <w:pPr>
              <w:pStyle w:val="Normal"/>
              <w:widowControl w:val="false"/>
              <w:ind w:left="177" w:hanging="0"/>
              <w:rPr>
                <w:rFonts w:ascii="Arial" w:hAnsi="Arial" w:cs="Arial"/>
                <w:kern w:val="2"/>
                <w:sz w:val="22"/>
                <w:szCs w:val="22"/>
                <w:lang w:val="pt-BR"/>
              </w:rPr>
            </w:pPr>
            <w:r>
              <w:rPr>
                <w:rFonts w:cs="Arial" w:ascii="Arial" w:hAnsi="Arial"/>
                <w:color w:val="000000"/>
                <w:kern w:val="2"/>
                <w:sz w:val="22"/>
                <w:szCs w:val="22"/>
                <w:lang w:val="pt-BR"/>
              </w:rPr>
              <w:t xml:space="preserve">Matéria orgânica </w:t>
            </w:r>
          </w:p>
        </w:tc>
        <w:tc>
          <w:tcPr>
            <w:tcW w:w="1134"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728</w:t>
            </w:r>
          </w:p>
        </w:tc>
        <w:tc>
          <w:tcPr>
            <w:tcW w:w="1136"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684</w:t>
            </w:r>
          </w:p>
        </w:tc>
        <w:tc>
          <w:tcPr>
            <w:tcW w:w="992"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757</w:t>
            </w:r>
          </w:p>
        </w:tc>
        <w:tc>
          <w:tcPr>
            <w:tcW w:w="1094"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731</w:t>
            </w:r>
          </w:p>
        </w:tc>
        <w:tc>
          <w:tcPr>
            <w:tcW w:w="1158" w:type="dxa"/>
            <w:tcBorders/>
            <w:shd w:color="auto" w:fill="auto" w:val="clear"/>
            <w:vAlign w:val="bottom"/>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86,2</w:t>
            </w:r>
          </w:p>
        </w:tc>
        <w:tc>
          <w:tcPr>
            <w:tcW w:w="1339" w:type="dxa"/>
            <w:tcBorders/>
            <w:shd w:color="auto" w:fill="auto" w:val="clear"/>
            <w:vAlign w:val="bottom"/>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0,421</w:t>
            </w:r>
          </w:p>
        </w:tc>
      </w:tr>
      <w:tr>
        <w:trPr>
          <w:trHeight w:val="267" w:hRule="atLeast"/>
        </w:trPr>
        <w:tc>
          <w:tcPr>
            <w:tcW w:w="2551" w:type="dxa"/>
            <w:tcBorders/>
            <w:shd w:color="auto" w:fill="auto" w:val="clear"/>
            <w:vAlign w:val="center"/>
          </w:tcPr>
          <w:p>
            <w:pPr>
              <w:pStyle w:val="Normal"/>
              <w:widowControl w:val="false"/>
              <w:ind w:left="177" w:hanging="0"/>
              <w:rPr>
                <w:rFonts w:ascii="Arial" w:hAnsi="Arial" w:cs="Arial"/>
                <w:kern w:val="2"/>
                <w:sz w:val="22"/>
                <w:szCs w:val="22"/>
                <w:lang w:val="pt-BR"/>
              </w:rPr>
            </w:pPr>
            <w:r>
              <w:rPr>
                <w:rFonts w:cs="Arial" w:ascii="Arial" w:hAnsi="Arial"/>
                <w:color w:val="000000"/>
                <w:kern w:val="2"/>
                <w:sz w:val="22"/>
                <w:szCs w:val="22"/>
                <w:lang w:val="pt-BR"/>
              </w:rPr>
              <w:t>Proteína bruta</w:t>
            </w:r>
          </w:p>
        </w:tc>
        <w:tc>
          <w:tcPr>
            <w:tcW w:w="1134"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93,0</w:t>
            </w:r>
            <w:r>
              <w:rPr>
                <w:rFonts w:cs="Arial" w:ascii="Arial" w:hAnsi="Arial"/>
                <w:color w:val="000000"/>
                <w:kern w:val="2"/>
                <w:sz w:val="22"/>
                <w:szCs w:val="22"/>
                <w:vertAlign w:val="superscript"/>
                <w:lang w:val="pt-BR"/>
              </w:rPr>
              <w:t>b</w:t>
            </w:r>
          </w:p>
        </w:tc>
        <w:tc>
          <w:tcPr>
            <w:tcW w:w="1136"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99,2</w:t>
            </w:r>
            <w:r>
              <w:rPr>
                <w:rFonts w:cs="Arial" w:ascii="Arial" w:hAnsi="Arial"/>
                <w:color w:val="000000"/>
                <w:kern w:val="2"/>
                <w:sz w:val="22"/>
                <w:szCs w:val="22"/>
                <w:vertAlign w:val="superscript"/>
                <w:lang w:val="pt-BR"/>
              </w:rPr>
              <w:t>b</w:t>
            </w:r>
          </w:p>
        </w:tc>
        <w:tc>
          <w:tcPr>
            <w:tcW w:w="992"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114</w:t>
            </w:r>
            <w:r>
              <w:rPr>
                <w:rFonts w:cs="Arial" w:ascii="Arial" w:hAnsi="Arial"/>
                <w:color w:val="000000"/>
                <w:kern w:val="2"/>
                <w:sz w:val="22"/>
                <w:szCs w:val="22"/>
                <w:vertAlign w:val="superscript"/>
                <w:lang w:val="pt-BR"/>
              </w:rPr>
              <w:t>a</w:t>
            </w:r>
          </w:p>
        </w:tc>
        <w:tc>
          <w:tcPr>
            <w:tcW w:w="1094"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118</w:t>
            </w:r>
            <w:r>
              <w:rPr>
                <w:rFonts w:cs="Arial" w:ascii="Arial" w:hAnsi="Arial"/>
                <w:color w:val="000000"/>
                <w:kern w:val="2"/>
                <w:sz w:val="22"/>
                <w:szCs w:val="22"/>
                <w:vertAlign w:val="superscript"/>
                <w:lang w:val="pt-BR"/>
              </w:rPr>
              <w:t>a</w:t>
            </w:r>
          </w:p>
        </w:tc>
        <w:tc>
          <w:tcPr>
            <w:tcW w:w="1158" w:type="dxa"/>
            <w:tcBorders/>
            <w:shd w:color="auto" w:fill="auto" w:val="clea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12,2</w:t>
            </w:r>
          </w:p>
        </w:tc>
        <w:tc>
          <w:tcPr>
            <w:tcW w:w="1339" w:type="dxa"/>
            <w:tcBorders/>
            <w:shd w:color="auto" w:fill="auto" w:val="clear"/>
            <w:vAlign w:val="bottom"/>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0,002</w:t>
            </w:r>
          </w:p>
        </w:tc>
      </w:tr>
      <w:tr>
        <w:trPr>
          <w:trHeight w:val="267" w:hRule="atLeast"/>
        </w:trPr>
        <w:tc>
          <w:tcPr>
            <w:tcW w:w="2551" w:type="dxa"/>
            <w:tcBorders/>
            <w:shd w:color="auto" w:fill="auto" w:val="clear"/>
            <w:vAlign w:val="center"/>
          </w:tcPr>
          <w:p>
            <w:pPr>
              <w:pStyle w:val="Normal"/>
              <w:widowControl w:val="false"/>
              <w:rPr>
                <w:rFonts w:ascii="Arial" w:hAnsi="Arial" w:cs="Arial"/>
                <w:color w:val="000000"/>
                <w:kern w:val="2"/>
                <w:sz w:val="22"/>
                <w:szCs w:val="22"/>
                <w:lang w:val="pt-BR"/>
              </w:rPr>
            </w:pPr>
            <w:r>
              <w:rPr>
                <w:rFonts w:cs="Arial" w:ascii="Arial" w:hAnsi="Arial"/>
                <w:color w:val="000000"/>
                <w:kern w:val="2"/>
                <w:sz w:val="22"/>
                <w:szCs w:val="22"/>
                <w:lang w:val="pt-BR"/>
              </w:rPr>
              <w:t>Digestibilidade (%)</w:t>
            </w:r>
          </w:p>
        </w:tc>
        <w:tc>
          <w:tcPr>
            <w:tcW w:w="1134" w:type="dxa"/>
            <w:tcBorders/>
            <w:shd w:color="auto" w:fill="auto" w:val="clear"/>
            <w:vAlign w:val="center"/>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r>
          </w:p>
        </w:tc>
        <w:tc>
          <w:tcPr>
            <w:tcW w:w="1136" w:type="dxa"/>
            <w:tcBorders/>
            <w:shd w:color="auto" w:fill="auto" w:val="clear"/>
            <w:vAlign w:val="center"/>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r>
          </w:p>
        </w:tc>
        <w:tc>
          <w:tcPr>
            <w:tcW w:w="992" w:type="dxa"/>
            <w:tcBorders/>
            <w:shd w:color="auto" w:fill="auto" w:val="clear"/>
            <w:vAlign w:val="center"/>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r>
          </w:p>
        </w:tc>
        <w:tc>
          <w:tcPr>
            <w:tcW w:w="1094" w:type="dxa"/>
            <w:tcBorders/>
            <w:shd w:color="auto" w:fill="auto" w:val="clear"/>
            <w:vAlign w:val="center"/>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r>
          </w:p>
        </w:tc>
        <w:tc>
          <w:tcPr>
            <w:tcW w:w="1158" w:type="dxa"/>
            <w:tcBorders/>
            <w:shd w:color="auto" w:fill="auto" w:val="clear"/>
            <w:vAlign w:val="bottom"/>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r>
          </w:p>
        </w:tc>
        <w:tc>
          <w:tcPr>
            <w:tcW w:w="1339" w:type="dxa"/>
            <w:tcBorders/>
            <w:shd w:color="auto" w:fill="auto" w:val="clear"/>
            <w:vAlign w:val="bottom"/>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r>
          </w:p>
        </w:tc>
      </w:tr>
      <w:tr>
        <w:trPr>
          <w:trHeight w:val="267" w:hRule="atLeast"/>
        </w:trPr>
        <w:tc>
          <w:tcPr>
            <w:tcW w:w="2551" w:type="dxa"/>
            <w:tcBorders/>
            <w:shd w:color="auto" w:fill="auto" w:val="clear"/>
            <w:vAlign w:val="center"/>
          </w:tcPr>
          <w:p>
            <w:pPr>
              <w:pStyle w:val="Normal"/>
              <w:widowControl w:val="false"/>
              <w:ind w:left="177" w:hanging="0"/>
              <w:rPr>
                <w:rFonts w:ascii="Arial" w:hAnsi="Arial" w:cs="Arial"/>
                <w:kern w:val="2"/>
                <w:sz w:val="22"/>
                <w:szCs w:val="22"/>
                <w:lang w:val="pt-BR"/>
              </w:rPr>
            </w:pPr>
            <w:r>
              <w:rPr>
                <w:rFonts w:cs="Arial" w:ascii="Arial" w:hAnsi="Arial"/>
                <w:color w:val="000000"/>
                <w:kern w:val="2"/>
                <w:sz w:val="22"/>
                <w:szCs w:val="22"/>
                <w:lang w:val="pt-BR"/>
              </w:rPr>
              <w:t>Matéria seca</w:t>
            </w:r>
          </w:p>
        </w:tc>
        <w:tc>
          <w:tcPr>
            <w:tcW w:w="1134"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68,6</w:t>
            </w:r>
            <w:r>
              <w:rPr>
                <w:rFonts w:cs="Arial" w:ascii="Arial" w:hAnsi="Arial"/>
                <w:color w:val="000000"/>
                <w:kern w:val="2"/>
                <w:sz w:val="22"/>
                <w:szCs w:val="22"/>
                <w:vertAlign w:val="superscript"/>
                <w:lang w:val="pt-BR"/>
              </w:rPr>
              <w:t>a</w:t>
            </w:r>
          </w:p>
        </w:tc>
        <w:tc>
          <w:tcPr>
            <w:tcW w:w="1136"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63,6</w:t>
            </w:r>
            <w:r>
              <w:rPr>
                <w:rFonts w:cs="Arial" w:ascii="Arial" w:hAnsi="Arial"/>
                <w:color w:val="000000"/>
                <w:kern w:val="2"/>
                <w:sz w:val="22"/>
                <w:szCs w:val="22"/>
                <w:vertAlign w:val="superscript"/>
                <w:lang w:val="pt-BR"/>
              </w:rPr>
              <w:t>b</w:t>
            </w:r>
          </w:p>
        </w:tc>
        <w:tc>
          <w:tcPr>
            <w:tcW w:w="992"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63,0</w:t>
            </w:r>
            <w:r>
              <w:rPr>
                <w:rFonts w:cs="Arial" w:ascii="Arial" w:hAnsi="Arial"/>
                <w:color w:val="000000"/>
                <w:kern w:val="2"/>
                <w:sz w:val="22"/>
                <w:szCs w:val="22"/>
                <w:vertAlign w:val="superscript"/>
                <w:lang w:val="pt-BR"/>
              </w:rPr>
              <w:t>b</w:t>
            </w:r>
          </w:p>
        </w:tc>
        <w:tc>
          <w:tcPr>
            <w:tcW w:w="1094"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59,7</w:t>
            </w:r>
            <w:r>
              <w:rPr>
                <w:rFonts w:cs="Arial" w:ascii="Arial" w:hAnsi="Arial"/>
                <w:color w:val="000000"/>
                <w:kern w:val="2"/>
                <w:sz w:val="22"/>
                <w:szCs w:val="22"/>
                <w:vertAlign w:val="superscript"/>
                <w:lang w:val="pt-BR"/>
              </w:rPr>
              <w:t>c</w:t>
            </w:r>
          </w:p>
        </w:tc>
        <w:tc>
          <w:tcPr>
            <w:tcW w:w="1158" w:type="dxa"/>
            <w:tcBorders/>
            <w:shd w:color="auto" w:fill="auto" w:val="clear"/>
            <w:vAlign w:val="bottom"/>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3,76</w:t>
            </w:r>
          </w:p>
        </w:tc>
        <w:tc>
          <w:tcPr>
            <w:tcW w:w="1339" w:type="dxa"/>
            <w:tcBorders/>
            <w:shd w:color="auto" w:fill="auto" w:val="clear"/>
            <w:vAlign w:val="bottom"/>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0,002</w:t>
            </w:r>
          </w:p>
        </w:tc>
      </w:tr>
      <w:tr>
        <w:trPr>
          <w:trHeight w:val="267" w:hRule="atLeast"/>
        </w:trPr>
        <w:tc>
          <w:tcPr>
            <w:tcW w:w="2551" w:type="dxa"/>
            <w:tcBorders/>
            <w:shd w:color="auto" w:fill="auto" w:val="clear"/>
            <w:vAlign w:val="center"/>
          </w:tcPr>
          <w:p>
            <w:pPr>
              <w:pStyle w:val="Normal"/>
              <w:widowControl w:val="false"/>
              <w:ind w:left="177" w:hanging="0"/>
              <w:rPr>
                <w:rFonts w:ascii="Arial" w:hAnsi="Arial" w:cs="Arial"/>
                <w:kern w:val="2"/>
                <w:sz w:val="22"/>
                <w:szCs w:val="22"/>
                <w:lang w:val="pt-BR"/>
              </w:rPr>
            </w:pPr>
            <w:r>
              <w:rPr>
                <w:rFonts w:cs="Arial" w:ascii="Arial" w:hAnsi="Arial"/>
                <w:color w:val="000000"/>
                <w:kern w:val="2"/>
                <w:sz w:val="22"/>
                <w:szCs w:val="22"/>
                <w:lang w:val="pt-BR"/>
              </w:rPr>
              <w:t>Matéria orgânica</w:t>
            </w:r>
          </w:p>
        </w:tc>
        <w:tc>
          <w:tcPr>
            <w:tcW w:w="1134"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73,5</w:t>
            </w:r>
            <w:r>
              <w:rPr>
                <w:rFonts w:cs="Arial" w:ascii="Arial" w:hAnsi="Arial"/>
                <w:color w:val="000000"/>
                <w:kern w:val="2"/>
                <w:sz w:val="22"/>
                <w:szCs w:val="22"/>
                <w:vertAlign w:val="superscript"/>
                <w:lang w:val="pt-BR"/>
              </w:rPr>
              <w:t>a</w:t>
            </w:r>
          </w:p>
        </w:tc>
        <w:tc>
          <w:tcPr>
            <w:tcW w:w="1136"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68,8</w:t>
            </w:r>
            <w:r>
              <w:rPr>
                <w:rFonts w:cs="Arial" w:ascii="Arial" w:hAnsi="Arial"/>
                <w:color w:val="000000"/>
                <w:kern w:val="2"/>
                <w:sz w:val="22"/>
                <w:szCs w:val="22"/>
                <w:vertAlign w:val="superscript"/>
                <w:lang w:val="pt-BR"/>
              </w:rPr>
              <w:t>b</w:t>
            </w:r>
          </w:p>
        </w:tc>
        <w:tc>
          <w:tcPr>
            <w:tcW w:w="992"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69,3</w:t>
            </w:r>
            <w:r>
              <w:rPr>
                <w:rFonts w:cs="Arial" w:ascii="Arial" w:hAnsi="Arial"/>
                <w:color w:val="000000"/>
                <w:kern w:val="2"/>
                <w:sz w:val="22"/>
                <w:szCs w:val="22"/>
                <w:vertAlign w:val="superscript"/>
                <w:lang w:val="pt-BR"/>
              </w:rPr>
              <w:t>b</w:t>
            </w:r>
          </w:p>
        </w:tc>
        <w:tc>
          <w:tcPr>
            <w:tcW w:w="1094"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65,8</w:t>
            </w:r>
            <w:r>
              <w:rPr>
                <w:rFonts w:cs="Arial" w:ascii="Arial" w:hAnsi="Arial"/>
                <w:color w:val="000000"/>
                <w:kern w:val="2"/>
                <w:sz w:val="22"/>
                <w:szCs w:val="22"/>
                <w:vertAlign w:val="superscript"/>
                <w:lang w:val="pt-BR"/>
              </w:rPr>
              <w:t>c</w:t>
            </w:r>
          </w:p>
        </w:tc>
        <w:tc>
          <w:tcPr>
            <w:tcW w:w="1158" w:type="dxa"/>
            <w:tcBorders/>
            <w:shd w:color="auto" w:fill="auto" w:val="clear"/>
            <w:vAlign w:val="bottom"/>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3,01</w:t>
            </w:r>
          </w:p>
        </w:tc>
        <w:tc>
          <w:tcPr>
            <w:tcW w:w="1339" w:type="dxa"/>
            <w:tcBorders/>
            <w:shd w:color="auto" w:fill="auto" w:val="clear"/>
            <w:vAlign w:val="bottom"/>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0,001</w:t>
            </w:r>
          </w:p>
        </w:tc>
      </w:tr>
      <w:tr>
        <w:trPr>
          <w:trHeight w:val="267" w:hRule="atLeast"/>
        </w:trPr>
        <w:tc>
          <w:tcPr>
            <w:tcW w:w="2551" w:type="dxa"/>
            <w:tcBorders/>
            <w:shd w:color="auto" w:fill="auto" w:val="clear"/>
            <w:vAlign w:val="center"/>
          </w:tcPr>
          <w:p>
            <w:pPr>
              <w:pStyle w:val="Normal"/>
              <w:widowControl w:val="false"/>
              <w:rPr>
                <w:rFonts w:ascii="Arial" w:hAnsi="Arial" w:cs="Arial"/>
                <w:kern w:val="2"/>
                <w:sz w:val="22"/>
                <w:szCs w:val="22"/>
                <w:lang w:val="pt-BR"/>
              </w:rPr>
            </w:pPr>
            <w:r>
              <w:rPr>
                <w:rFonts w:cs="Arial" w:ascii="Arial" w:hAnsi="Arial"/>
                <w:color w:val="000000"/>
                <w:kern w:val="2"/>
                <w:sz w:val="22"/>
                <w:szCs w:val="22"/>
                <w:lang w:val="pt-BR"/>
              </w:rPr>
              <w:t>Consumo MS</w:t>
            </w:r>
            <w:r>
              <w:rPr>
                <w:rFonts w:cs="Arial" w:ascii="Arial" w:hAnsi="Arial"/>
                <w:color w:val="000000"/>
                <w:kern w:val="2"/>
                <w:sz w:val="22"/>
                <w:szCs w:val="22"/>
                <w:vertAlign w:val="subscript"/>
                <w:lang w:val="pt-BR"/>
              </w:rPr>
              <w:t>d</w:t>
            </w:r>
            <w:r>
              <w:rPr>
                <w:rFonts w:cs="Arial" w:ascii="Arial" w:hAnsi="Arial"/>
                <w:color w:val="000000"/>
                <w:kern w:val="2"/>
                <w:sz w:val="22"/>
                <w:szCs w:val="22"/>
                <w:lang w:val="pt-BR"/>
              </w:rPr>
              <w:t xml:space="preserve"> (g/dia)</w:t>
            </w:r>
            <w:r>
              <w:rPr>
                <w:rFonts w:cs="Arial" w:ascii="Arial" w:hAnsi="Arial"/>
                <w:color w:val="000000"/>
                <w:kern w:val="2"/>
                <w:sz w:val="22"/>
                <w:szCs w:val="22"/>
                <w:vertAlign w:val="superscript"/>
                <w:lang w:val="pt-BR"/>
              </w:rPr>
              <w:t>2</w:t>
            </w:r>
          </w:p>
        </w:tc>
        <w:tc>
          <w:tcPr>
            <w:tcW w:w="1134"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551</w:t>
            </w:r>
          </w:p>
        </w:tc>
        <w:tc>
          <w:tcPr>
            <w:tcW w:w="1136"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500</w:t>
            </w:r>
          </w:p>
        </w:tc>
        <w:tc>
          <w:tcPr>
            <w:tcW w:w="992"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558</w:t>
            </w:r>
          </w:p>
        </w:tc>
        <w:tc>
          <w:tcPr>
            <w:tcW w:w="1094"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533</w:t>
            </w:r>
          </w:p>
        </w:tc>
        <w:tc>
          <w:tcPr>
            <w:tcW w:w="1158" w:type="dxa"/>
            <w:tcBorders/>
            <w:shd w:color="auto" w:fill="auto" w:val="clear"/>
          </w:tcPr>
          <w:p>
            <w:pPr>
              <w:pStyle w:val="Normal"/>
              <w:widowControl w:val="false"/>
              <w:jc w:val="center"/>
              <w:rPr>
                <w:rFonts w:ascii="Arial" w:hAnsi="Arial" w:cs="Arial"/>
                <w:kern w:val="2"/>
                <w:sz w:val="22"/>
                <w:szCs w:val="22"/>
                <w:lang w:val="pt-BR"/>
              </w:rPr>
            </w:pPr>
            <w:r>
              <w:rPr>
                <w:rFonts w:cs="Arial" w:ascii="Arial" w:hAnsi="Arial"/>
                <w:kern w:val="2"/>
                <w:sz w:val="22"/>
                <w:szCs w:val="22"/>
                <w:lang w:val="pt-BR"/>
              </w:rPr>
              <w:t>82,2</w:t>
            </w:r>
          </w:p>
        </w:tc>
        <w:tc>
          <w:tcPr>
            <w:tcW w:w="1339" w:type="dxa"/>
            <w:tcBorders/>
            <w:shd w:color="auto" w:fill="auto" w:val="clear"/>
            <w:vAlign w:val="bottom"/>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0,520</w:t>
            </w:r>
          </w:p>
        </w:tc>
      </w:tr>
      <w:tr>
        <w:trPr>
          <w:trHeight w:val="267" w:hRule="atLeast"/>
        </w:trPr>
        <w:tc>
          <w:tcPr>
            <w:tcW w:w="2551" w:type="dxa"/>
            <w:tcBorders/>
            <w:shd w:color="auto" w:fill="auto" w:val="clear"/>
            <w:vAlign w:val="center"/>
          </w:tcPr>
          <w:p>
            <w:pPr>
              <w:pStyle w:val="Normal"/>
              <w:widowControl w:val="false"/>
              <w:rPr>
                <w:rFonts w:ascii="Arial" w:hAnsi="Arial" w:cs="Arial"/>
                <w:kern w:val="2"/>
                <w:sz w:val="22"/>
                <w:szCs w:val="22"/>
                <w:lang w:val="pt-BR"/>
              </w:rPr>
            </w:pPr>
            <w:r>
              <w:rPr>
                <w:rFonts w:cs="Arial" w:ascii="Arial" w:hAnsi="Arial"/>
                <w:color w:val="000000"/>
                <w:kern w:val="2"/>
                <w:sz w:val="22"/>
                <w:szCs w:val="22"/>
                <w:lang w:val="pt-BR"/>
              </w:rPr>
              <w:t>Consumo MO</w:t>
            </w:r>
            <w:r>
              <w:rPr>
                <w:rFonts w:cs="Arial" w:ascii="Arial" w:hAnsi="Arial"/>
                <w:color w:val="000000"/>
                <w:kern w:val="2"/>
                <w:sz w:val="22"/>
                <w:szCs w:val="22"/>
                <w:vertAlign w:val="subscript"/>
                <w:lang w:val="pt-BR"/>
              </w:rPr>
              <w:t>d</w:t>
            </w:r>
            <w:r>
              <w:rPr>
                <w:rFonts w:cs="Arial" w:ascii="Arial" w:hAnsi="Arial"/>
                <w:color w:val="000000"/>
                <w:kern w:val="2"/>
                <w:sz w:val="22"/>
                <w:szCs w:val="22"/>
                <w:lang w:val="pt-BR"/>
              </w:rPr>
              <w:t xml:space="preserve"> (g/dia)</w:t>
            </w:r>
            <w:r>
              <w:rPr>
                <w:rFonts w:cs="Arial" w:ascii="Arial" w:hAnsi="Arial"/>
                <w:color w:val="000000"/>
                <w:kern w:val="2"/>
                <w:sz w:val="22"/>
                <w:szCs w:val="22"/>
                <w:vertAlign w:val="superscript"/>
                <w:lang w:val="pt-BR"/>
              </w:rPr>
              <w:t>3</w:t>
            </w:r>
          </w:p>
        </w:tc>
        <w:tc>
          <w:tcPr>
            <w:tcW w:w="1134"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536</w:t>
            </w:r>
          </w:p>
        </w:tc>
        <w:tc>
          <w:tcPr>
            <w:tcW w:w="1136"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469</w:t>
            </w:r>
          </w:p>
        </w:tc>
        <w:tc>
          <w:tcPr>
            <w:tcW w:w="992"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526</w:t>
            </w:r>
          </w:p>
        </w:tc>
        <w:tc>
          <w:tcPr>
            <w:tcW w:w="1094" w:type="dxa"/>
            <w:tcBorders/>
            <w:shd w:color="auto" w:fill="auto" w:val="clear"/>
            <w:vAlign w:val="center"/>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483</w:t>
            </w:r>
          </w:p>
        </w:tc>
        <w:tc>
          <w:tcPr>
            <w:tcW w:w="1158" w:type="dxa"/>
            <w:tcBorders/>
            <w:shd w:color="auto" w:fill="auto" w:val="clear"/>
          </w:tcPr>
          <w:p>
            <w:pPr>
              <w:pStyle w:val="Normal"/>
              <w:widowControl w:val="false"/>
              <w:jc w:val="center"/>
              <w:rPr>
                <w:rFonts w:ascii="Arial" w:hAnsi="Arial" w:cs="Arial"/>
                <w:kern w:val="2"/>
                <w:sz w:val="22"/>
                <w:szCs w:val="22"/>
                <w:lang w:val="pt-BR"/>
              </w:rPr>
            </w:pPr>
            <w:r>
              <w:rPr>
                <w:rFonts w:cs="Arial" w:ascii="Arial" w:hAnsi="Arial"/>
                <w:kern w:val="2"/>
                <w:sz w:val="22"/>
                <w:szCs w:val="22"/>
                <w:lang w:val="pt-BR"/>
              </w:rPr>
              <w:t>74,5</w:t>
            </w:r>
          </w:p>
        </w:tc>
        <w:tc>
          <w:tcPr>
            <w:tcW w:w="1339" w:type="dxa"/>
            <w:tcBorders/>
            <w:shd w:color="auto" w:fill="auto" w:val="clear"/>
            <w:vAlign w:val="bottom"/>
          </w:tcPr>
          <w:p>
            <w:pPr>
              <w:pStyle w:val="Normal"/>
              <w:keepNext w:val="true"/>
              <w:widowControl w:val="false"/>
              <w:jc w:val="center"/>
              <w:rPr>
                <w:rFonts w:ascii="Arial" w:hAnsi="Arial" w:cs="Arial"/>
                <w:kern w:val="2"/>
                <w:sz w:val="22"/>
                <w:szCs w:val="22"/>
                <w:lang w:val="pt-BR"/>
              </w:rPr>
            </w:pPr>
            <w:r>
              <w:rPr>
                <w:rFonts w:cs="Arial" w:ascii="Arial" w:hAnsi="Arial"/>
                <w:color w:val="000000"/>
                <w:kern w:val="2"/>
                <w:sz w:val="22"/>
                <w:szCs w:val="22"/>
                <w:lang w:val="pt-BR"/>
              </w:rPr>
              <w:t>0,233</w:t>
            </w:r>
          </w:p>
        </w:tc>
      </w:tr>
      <w:tr>
        <w:trPr>
          <w:trHeight w:val="267" w:hRule="atLeast"/>
        </w:trPr>
        <w:tc>
          <w:tcPr>
            <w:tcW w:w="2551" w:type="dxa"/>
            <w:tcBorders>
              <w:bottom w:val="single" w:sz="4" w:space="0" w:color="000000"/>
            </w:tcBorders>
            <w:shd w:color="auto" w:fill="auto" w:val="clear"/>
            <w:vAlign w:val="center"/>
          </w:tcPr>
          <w:p>
            <w:pPr>
              <w:pStyle w:val="Normal"/>
              <w:widowControl w:val="false"/>
              <w:rPr>
                <w:rFonts w:ascii="Arial" w:hAnsi="Arial" w:cs="Arial"/>
                <w:color w:val="000000"/>
                <w:kern w:val="2"/>
                <w:sz w:val="22"/>
                <w:szCs w:val="22"/>
                <w:lang w:val="pt-BR"/>
              </w:rPr>
            </w:pPr>
            <w:r>
              <w:rPr>
                <w:rFonts w:cs="Arial" w:ascii="Arial" w:hAnsi="Arial"/>
                <w:color w:val="000000"/>
                <w:kern w:val="2"/>
                <w:sz w:val="22"/>
                <w:szCs w:val="22"/>
                <w:lang w:val="pt-BR"/>
              </w:rPr>
              <w:t>Eficiência uso N (%)</w:t>
            </w:r>
          </w:p>
        </w:tc>
        <w:tc>
          <w:tcPr>
            <w:tcW w:w="1134" w:type="dxa"/>
            <w:tcBorders>
              <w:bottom w:val="single" w:sz="4" w:space="0" w:color="000000"/>
            </w:tcBorders>
            <w:shd w:color="auto" w:fill="auto" w:val="clear"/>
            <w:vAlign w:val="center"/>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t>63,2</w:t>
            </w:r>
            <w:r>
              <w:rPr>
                <w:rFonts w:cs="Arial" w:ascii="Arial" w:hAnsi="Arial"/>
                <w:color w:val="000000"/>
                <w:kern w:val="2"/>
                <w:sz w:val="22"/>
                <w:szCs w:val="22"/>
                <w:vertAlign w:val="superscript"/>
                <w:lang w:val="pt-BR"/>
              </w:rPr>
              <w:t>a</w:t>
            </w:r>
          </w:p>
        </w:tc>
        <w:tc>
          <w:tcPr>
            <w:tcW w:w="1136" w:type="dxa"/>
            <w:tcBorders>
              <w:bottom w:val="single" w:sz="4" w:space="0" w:color="000000"/>
            </w:tcBorders>
            <w:shd w:color="auto" w:fill="auto" w:val="clear"/>
            <w:vAlign w:val="center"/>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t>61,1</w:t>
            </w:r>
            <w:r>
              <w:rPr>
                <w:rFonts w:cs="Arial" w:ascii="Arial" w:hAnsi="Arial"/>
                <w:color w:val="000000"/>
                <w:kern w:val="2"/>
                <w:sz w:val="22"/>
                <w:szCs w:val="22"/>
                <w:vertAlign w:val="superscript"/>
                <w:lang w:val="pt-BR"/>
              </w:rPr>
              <w:t>ab</w:t>
            </w:r>
          </w:p>
        </w:tc>
        <w:tc>
          <w:tcPr>
            <w:tcW w:w="992" w:type="dxa"/>
            <w:tcBorders>
              <w:bottom w:val="single" w:sz="4" w:space="0" w:color="000000"/>
            </w:tcBorders>
            <w:shd w:color="auto" w:fill="auto" w:val="clear"/>
            <w:vAlign w:val="center"/>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t>61,0</w:t>
            </w:r>
            <w:r>
              <w:rPr>
                <w:rFonts w:cs="Arial" w:ascii="Arial" w:hAnsi="Arial"/>
                <w:color w:val="000000"/>
                <w:kern w:val="2"/>
                <w:sz w:val="22"/>
                <w:szCs w:val="22"/>
                <w:vertAlign w:val="superscript"/>
                <w:lang w:val="pt-BR"/>
              </w:rPr>
              <w:t>ab</w:t>
            </w:r>
          </w:p>
        </w:tc>
        <w:tc>
          <w:tcPr>
            <w:tcW w:w="1094" w:type="dxa"/>
            <w:tcBorders>
              <w:bottom w:val="single" w:sz="4" w:space="0" w:color="000000"/>
            </w:tcBorders>
            <w:shd w:color="auto" w:fill="auto" w:val="clear"/>
            <w:vAlign w:val="center"/>
          </w:tcPr>
          <w:p>
            <w:pPr>
              <w:pStyle w:val="Normal"/>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t>56,8</w:t>
            </w:r>
            <w:r>
              <w:rPr>
                <w:rFonts w:cs="Arial" w:ascii="Arial" w:hAnsi="Arial"/>
                <w:color w:val="000000"/>
                <w:kern w:val="2"/>
                <w:sz w:val="22"/>
                <w:szCs w:val="22"/>
                <w:vertAlign w:val="superscript"/>
                <w:lang w:val="pt-BR"/>
              </w:rPr>
              <w:t>b</w:t>
            </w:r>
          </w:p>
        </w:tc>
        <w:tc>
          <w:tcPr>
            <w:tcW w:w="1158" w:type="dxa"/>
            <w:tcBorders>
              <w:bottom w:val="single" w:sz="4" w:space="0" w:color="000000"/>
            </w:tcBorders>
            <w:shd w:color="auto" w:fill="auto" w:val="clear"/>
            <w:vAlign w:val="bottom"/>
          </w:tcPr>
          <w:p>
            <w:pPr>
              <w:pStyle w:val="Normal"/>
              <w:widowControl w:val="false"/>
              <w:jc w:val="center"/>
              <w:rPr>
                <w:rFonts w:ascii="Arial" w:hAnsi="Arial" w:cs="Arial"/>
                <w:kern w:val="2"/>
                <w:sz w:val="22"/>
                <w:szCs w:val="22"/>
                <w:lang w:val="pt-BR"/>
              </w:rPr>
            </w:pPr>
            <w:r>
              <w:rPr>
                <w:rFonts w:cs="Arial" w:ascii="Arial" w:hAnsi="Arial"/>
                <w:color w:val="000000"/>
                <w:kern w:val="2"/>
                <w:sz w:val="22"/>
                <w:szCs w:val="22"/>
                <w:lang w:val="pt-BR"/>
              </w:rPr>
              <w:t>2,08</w:t>
            </w:r>
          </w:p>
        </w:tc>
        <w:tc>
          <w:tcPr>
            <w:tcW w:w="1339" w:type="dxa"/>
            <w:tcBorders>
              <w:bottom w:val="single" w:sz="4" w:space="0" w:color="000000"/>
            </w:tcBorders>
            <w:shd w:color="auto" w:fill="auto" w:val="clear"/>
            <w:vAlign w:val="center"/>
          </w:tcPr>
          <w:p>
            <w:pPr>
              <w:pStyle w:val="Normal"/>
              <w:keepNext w:val="true"/>
              <w:widowControl w:val="false"/>
              <w:jc w:val="center"/>
              <w:rPr>
                <w:rFonts w:ascii="Arial" w:hAnsi="Arial" w:cs="Arial"/>
                <w:color w:val="000000"/>
                <w:kern w:val="2"/>
                <w:sz w:val="22"/>
                <w:szCs w:val="22"/>
                <w:lang w:val="pt-BR"/>
              </w:rPr>
            </w:pPr>
            <w:r>
              <w:rPr>
                <w:rFonts w:cs="Arial" w:ascii="Arial" w:hAnsi="Arial"/>
                <w:color w:val="000000"/>
                <w:kern w:val="2"/>
                <w:sz w:val="22"/>
                <w:szCs w:val="22"/>
                <w:lang w:val="pt-BR"/>
              </w:rPr>
              <w:t>0,020</w:t>
            </w:r>
          </w:p>
        </w:tc>
      </w:tr>
    </w:tbl>
    <w:p>
      <w:pPr>
        <w:pStyle w:val="Normal"/>
        <w:tabs>
          <w:tab w:val="clear" w:pos="720"/>
          <w:tab w:val="left" w:pos="1005" w:leader="none"/>
        </w:tabs>
        <w:jc w:val="both"/>
        <w:rPr>
          <w:rFonts w:ascii="Arial" w:hAnsi="Arial" w:cs="Arial"/>
          <w:bCs/>
          <w:color w:val="000000"/>
          <w:sz w:val="20"/>
          <w:szCs w:val="20"/>
          <w:lang w:val="pt-BR"/>
        </w:rPr>
      </w:pPr>
      <w:r>
        <w:rPr>
          <w:rFonts w:cs="Arial" w:ascii="Arial" w:hAnsi="Arial"/>
          <w:bCs/>
          <w:color w:val="000000"/>
          <w:sz w:val="20"/>
          <w:szCs w:val="20"/>
          <w:lang w:val="pt-BR"/>
        </w:rPr>
        <w:t>Médias na mesma linha seguidas de letras desiguais diferem significativamente pelo teste “t”.</w:t>
      </w:r>
    </w:p>
    <w:p>
      <w:pPr>
        <w:pStyle w:val="Normal"/>
        <w:tabs>
          <w:tab w:val="clear" w:pos="720"/>
          <w:tab w:val="left" w:pos="1005" w:leader="none"/>
        </w:tabs>
        <w:jc w:val="both"/>
        <w:rPr>
          <w:rFonts w:ascii="Arial" w:hAnsi="Arial" w:cs="Arial"/>
          <w:bCs/>
          <w:color w:val="000000"/>
          <w:sz w:val="20"/>
          <w:szCs w:val="20"/>
          <w:lang w:val="pt-BR"/>
        </w:rPr>
      </w:pPr>
      <w:r>
        <w:rPr>
          <w:rFonts w:cs="Arial" w:ascii="Arial" w:hAnsi="Arial"/>
          <w:bCs/>
          <w:color w:val="000000"/>
          <w:sz w:val="20"/>
          <w:szCs w:val="20"/>
          <w:vertAlign w:val="superscript"/>
          <w:lang w:val="pt-BR"/>
        </w:rPr>
        <w:t xml:space="preserve">1 </w:t>
      </w:r>
      <w:r>
        <w:rPr>
          <w:rFonts w:cs="Arial" w:ascii="Arial" w:hAnsi="Arial"/>
          <w:bCs/>
          <w:color w:val="000000"/>
          <w:sz w:val="20"/>
          <w:szCs w:val="20"/>
          <w:lang w:val="pt-BR"/>
        </w:rPr>
        <w:t xml:space="preserve">Níveis de inclusão de silagem de trevo branco (% da MS). </w:t>
      </w:r>
    </w:p>
    <w:p>
      <w:pPr>
        <w:pStyle w:val="Normal"/>
        <w:tabs>
          <w:tab w:val="clear" w:pos="720"/>
          <w:tab w:val="left" w:pos="1005" w:leader="none"/>
        </w:tabs>
        <w:jc w:val="both"/>
        <w:rPr>
          <w:rFonts w:ascii="Arial" w:hAnsi="Arial" w:cs="Arial"/>
          <w:bCs/>
          <w:color w:val="000000"/>
          <w:sz w:val="20"/>
          <w:szCs w:val="20"/>
          <w:lang w:val="pt-BR"/>
        </w:rPr>
      </w:pPr>
      <w:r>
        <w:rPr>
          <w:rFonts w:cs="Arial" w:ascii="Arial" w:hAnsi="Arial"/>
          <w:bCs/>
          <w:color w:val="000000"/>
          <w:sz w:val="20"/>
          <w:szCs w:val="20"/>
          <w:vertAlign w:val="superscript"/>
          <w:lang w:val="pt-BR"/>
        </w:rPr>
        <w:t>2</w:t>
      </w:r>
      <w:r>
        <w:rPr>
          <w:rFonts w:cs="Arial" w:ascii="Arial" w:hAnsi="Arial"/>
          <w:bCs/>
          <w:color w:val="000000"/>
          <w:sz w:val="20"/>
          <w:szCs w:val="20"/>
          <w:lang w:val="pt-BR"/>
        </w:rPr>
        <w:t xml:space="preserve"> MS</w:t>
      </w:r>
      <w:r>
        <w:rPr>
          <w:rFonts w:cs="Arial" w:ascii="Arial" w:hAnsi="Arial"/>
          <w:bCs/>
          <w:color w:val="000000"/>
          <w:sz w:val="20"/>
          <w:szCs w:val="20"/>
          <w:vertAlign w:val="subscript"/>
          <w:lang w:val="pt-BR"/>
        </w:rPr>
        <w:t>d</w:t>
      </w:r>
      <w:r>
        <w:rPr>
          <w:rFonts w:cs="Arial" w:ascii="Arial" w:hAnsi="Arial"/>
          <w:bCs/>
          <w:color w:val="000000"/>
          <w:sz w:val="20"/>
          <w:szCs w:val="20"/>
          <w:lang w:val="pt-BR"/>
        </w:rPr>
        <w:t xml:space="preserve"> = Matéria seca digestível. </w:t>
      </w:r>
    </w:p>
    <w:p>
      <w:pPr>
        <w:pStyle w:val="Normal"/>
        <w:tabs>
          <w:tab w:val="clear" w:pos="720"/>
          <w:tab w:val="left" w:pos="1005" w:leader="none"/>
        </w:tabs>
        <w:jc w:val="both"/>
        <w:rPr>
          <w:rFonts w:ascii="Arial" w:hAnsi="Arial" w:cs="Arial"/>
          <w:bCs/>
          <w:color w:val="000000"/>
          <w:sz w:val="20"/>
          <w:szCs w:val="20"/>
          <w:lang w:val="pt-BR"/>
        </w:rPr>
      </w:pPr>
      <w:r>
        <w:rPr>
          <w:rFonts w:cs="Arial" w:ascii="Arial" w:hAnsi="Arial"/>
          <w:bCs/>
          <w:color w:val="000000"/>
          <w:sz w:val="20"/>
          <w:szCs w:val="20"/>
          <w:vertAlign w:val="superscript"/>
          <w:lang w:val="pt-BR"/>
        </w:rPr>
        <w:t>3</w:t>
      </w:r>
      <w:r>
        <w:rPr>
          <w:rFonts w:cs="Arial" w:ascii="Arial" w:hAnsi="Arial"/>
          <w:bCs/>
          <w:color w:val="000000"/>
          <w:sz w:val="20"/>
          <w:szCs w:val="20"/>
          <w:lang w:val="pt-BR"/>
        </w:rPr>
        <w:t xml:space="preserve"> MO</w:t>
      </w:r>
      <w:r>
        <w:rPr>
          <w:rFonts w:cs="Arial" w:ascii="Arial" w:hAnsi="Arial"/>
          <w:bCs/>
          <w:color w:val="000000"/>
          <w:sz w:val="20"/>
          <w:szCs w:val="20"/>
          <w:vertAlign w:val="subscript"/>
          <w:lang w:val="pt-BR"/>
        </w:rPr>
        <w:t>d</w:t>
      </w:r>
      <w:r>
        <w:rPr>
          <w:rFonts w:cs="Arial" w:ascii="Arial" w:hAnsi="Arial"/>
          <w:bCs/>
          <w:color w:val="000000"/>
          <w:sz w:val="20"/>
          <w:szCs w:val="20"/>
          <w:lang w:val="pt-BR"/>
        </w:rPr>
        <w:t xml:space="preserve"> = Matéria orgânica digestível.</w:t>
      </w:r>
    </w:p>
    <w:p>
      <w:pPr>
        <w:pStyle w:val="Normal"/>
        <w:tabs>
          <w:tab w:val="clear" w:pos="720"/>
          <w:tab w:val="left" w:pos="1005" w:leader="none"/>
        </w:tabs>
        <w:jc w:val="both"/>
        <w:rPr>
          <w:rFonts w:ascii="Arial" w:hAnsi="Arial" w:cs="Arial"/>
          <w:bCs/>
          <w:color w:val="000000"/>
          <w:sz w:val="20"/>
          <w:szCs w:val="20"/>
          <w:lang w:val="pt-BR"/>
        </w:rPr>
      </w:pPr>
      <w:r>
        <w:rPr>
          <w:rFonts w:cs="Arial" w:ascii="Arial" w:hAnsi="Arial"/>
          <w:bCs/>
          <w:color w:val="000000"/>
          <w:sz w:val="20"/>
          <w:szCs w:val="20"/>
          <w:lang w:val="pt-BR"/>
        </w:rPr>
      </w:r>
    </w:p>
    <w:p>
      <w:pPr>
        <w:pStyle w:val="LOnormal"/>
        <w:jc w:val="both"/>
        <w:rPr>
          <w:rFonts w:ascii="Arial" w:hAnsi="Arial" w:cs="Arial"/>
          <w:b/>
          <w:b/>
          <w:bCs/>
          <w:color w:val="000000" w:themeColor="text1"/>
          <w:sz w:val="22"/>
          <w:szCs w:val="22"/>
          <w:u w:val="none" w:color="000000"/>
          <w:lang w:val="pt-BR"/>
        </w:rPr>
      </w:pPr>
      <w:r>
        <w:rPr>
          <w:rFonts w:ascii="Arial" w:hAnsi="Arial"/>
          <w:b/>
          <w:bCs/>
          <w:color w:val="000000" w:themeColor="text1"/>
          <w:sz w:val="22"/>
          <w:szCs w:val="22"/>
          <w:lang w:val="pt-BR"/>
        </w:rPr>
        <w:t>Conclusão</w:t>
      </w:r>
      <w:r>
        <w:rPr>
          <w:rFonts w:ascii="Arial" w:hAnsi="Arial"/>
          <w:color w:val="000000" w:themeColor="text1"/>
          <w:sz w:val="22"/>
          <w:szCs w:val="22"/>
          <w:lang w:val="pt-BR"/>
        </w:rPr>
        <w:t>: Conclui-se que a inclusão de 40% de silagem de trevo branco, na dieta de ruminantes recebendo silagem de azevém, foi suficiente para aumentar o consumo de PB sem afetar o consumo de MO digestível. Mais de 40% de inclusão da leguminosa reduziu a eficiência de uso do N.</w:t>
      </w:r>
    </w:p>
    <w:p>
      <w:pPr>
        <w:pStyle w:val="LOnormal"/>
        <w:jc w:val="both"/>
        <w:rPr>
          <w:rFonts w:ascii="Arial" w:hAnsi="Arial" w:cs="Arial"/>
          <w:b/>
          <w:b/>
          <w:bCs/>
          <w:color w:val="000000" w:themeColor="text1"/>
          <w:sz w:val="22"/>
          <w:szCs w:val="22"/>
          <w:u w:val="none" w:color="000000"/>
          <w:lang w:val="pt-BR"/>
        </w:rPr>
      </w:pPr>
      <w:r>
        <w:rPr>
          <w:rFonts w:cs="Arial" w:ascii="Arial" w:hAnsi="Arial"/>
          <w:b/>
          <w:bCs/>
          <w:color w:val="000000" w:themeColor="text1"/>
          <w:sz w:val="22"/>
          <w:szCs w:val="22"/>
          <w:u w:val="none" w:color="000000"/>
          <w:lang w:val="pt-BR"/>
        </w:rPr>
      </w:r>
    </w:p>
    <w:p>
      <w:pPr>
        <w:pStyle w:val="LOnormal"/>
        <w:jc w:val="both"/>
        <w:rPr>
          <w:rFonts w:ascii="Arial" w:hAnsi="Arial" w:cs="Arial"/>
          <w:color w:val="000000" w:themeColor="text1"/>
          <w:sz w:val="22"/>
          <w:szCs w:val="22"/>
          <w:u w:val="none" w:color="000000"/>
          <w:lang w:val="pt-BR"/>
        </w:rPr>
      </w:pPr>
      <w:r>
        <w:rPr>
          <w:rFonts w:cs="Arial" w:ascii="Arial" w:hAnsi="Arial"/>
          <w:b/>
          <w:bCs/>
          <w:color w:val="000000" w:themeColor="text1"/>
          <w:sz w:val="22"/>
          <w:szCs w:val="22"/>
          <w:u w:val="none" w:color="000000"/>
          <w:lang w:val="pt-BR"/>
        </w:rPr>
        <w:t xml:space="preserve">Agradecimentos: </w:t>
      </w:r>
      <w:r>
        <w:rPr>
          <w:rFonts w:cs="Arial" w:ascii="Arial" w:hAnsi="Arial"/>
          <w:color w:val="000000" w:themeColor="text1"/>
          <w:sz w:val="22"/>
          <w:szCs w:val="22"/>
          <w:lang w:val="pt-BR"/>
        </w:rPr>
        <w:t>à EPAGRI, Estação Experimental Lages pelo espaço e infraestrutura. Ao FUNDES pela bolsa de doutorado.</w:t>
      </w:r>
    </w:p>
    <w:p>
      <w:pPr>
        <w:pStyle w:val="LOnormal"/>
        <w:jc w:val="both"/>
        <w:rPr>
          <w:rFonts w:ascii="Arial" w:hAnsi="Arial" w:eastAsia="Arial" w:cs="Arial"/>
          <w:color w:val="000000" w:themeColor="text1"/>
          <w:sz w:val="22"/>
          <w:szCs w:val="22"/>
          <w:u w:val="none" w:color="000000"/>
          <w:lang w:val="pt-BR"/>
        </w:rPr>
      </w:pPr>
      <w:r>
        <w:rPr>
          <w:rFonts w:eastAsia="Arial" w:cs="Arial" w:ascii="Arial" w:hAnsi="Arial"/>
          <w:color w:val="000000" w:themeColor="text1"/>
          <w:sz w:val="22"/>
          <w:szCs w:val="22"/>
          <w:u w:val="none" w:color="000000"/>
          <w:lang w:val="pt-BR"/>
        </w:rPr>
      </w:r>
    </w:p>
    <w:p>
      <w:pPr>
        <w:pStyle w:val="LOnormal"/>
        <w:jc w:val="both"/>
        <w:rPr>
          <w:rFonts w:ascii="Arial" w:hAnsi="Arial" w:cs="Arial"/>
          <w:color w:val="000000" w:themeColor="text1"/>
          <w:sz w:val="22"/>
          <w:szCs w:val="22"/>
          <w:u w:val="none" w:color="000000"/>
          <w:lang w:val="pt-BR"/>
        </w:rPr>
      </w:pPr>
      <w:r>
        <w:rPr>
          <w:rFonts w:cs="Arial" w:ascii="Arial" w:hAnsi="Arial"/>
          <w:b/>
          <w:bCs/>
          <w:color w:val="000000" w:themeColor="text1"/>
          <w:sz w:val="22"/>
          <w:szCs w:val="22"/>
          <w:u w:val="none" w:color="000000"/>
          <w:lang w:val="pt-BR"/>
        </w:rPr>
        <w:t xml:space="preserve">Comitê de ética: </w:t>
      </w:r>
      <w:r>
        <w:rPr>
          <w:rFonts w:cs="Arial" w:ascii="Arial" w:hAnsi="Arial"/>
          <w:color w:val="000000" w:themeColor="text1"/>
          <w:sz w:val="22"/>
          <w:szCs w:val="22"/>
          <w:u w:val="none" w:color="000000"/>
          <w:lang w:val="pt-BR"/>
        </w:rPr>
        <w:t xml:space="preserve">O presente trabalho está protocolado sob o </w:t>
      </w:r>
      <w:r>
        <w:rPr>
          <w:rFonts w:cs="Arial" w:ascii="Arial" w:hAnsi="Arial"/>
          <w:color w:val="000000" w:themeColor="text1"/>
          <w:sz w:val="22"/>
          <w:szCs w:val="22"/>
          <w:shd w:fill="FFFFFF" w:val="clear"/>
          <w:lang w:val="pt-BR"/>
        </w:rPr>
        <w:t xml:space="preserve">CEUA Nº 2004210621 de 21/06/2021 </w:t>
      </w:r>
      <w:r>
        <w:rPr>
          <w:rFonts w:cs="Arial" w:ascii="Arial" w:hAnsi="Arial"/>
          <w:color w:val="000000" w:themeColor="text1"/>
          <w:sz w:val="22"/>
          <w:szCs w:val="22"/>
          <w:u w:val="none" w:color="000000"/>
          <w:lang w:val="pt-BR"/>
        </w:rPr>
        <w:t>CAV/UDESC</w:t>
      </w:r>
    </w:p>
    <w:p>
      <w:pPr>
        <w:pStyle w:val="LOnormal"/>
        <w:jc w:val="both"/>
        <w:rPr>
          <w:rFonts w:ascii="Arial" w:hAnsi="Arial"/>
          <w:b/>
          <w:b/>
          <w:bCs/>
          <w:color w:val="000000"/>
          <w:sz w:val="22"/>
          <w:szCs w:val="22"/>
          <w:lang w:val="pt-BR"/>
        </w:rPr>
      </w:pPr>
      <w:r>
        <w:rPr>
          <w:rFonts w:ascii="Arial" w:hAnsi="Arial"/>
          <w:b/>
          <w:bCs/>
          <w:color w:val="000000"/>
          <w:sz w:val="22"/>
          <w:szCs w:val="22"/>
          <w:lang w:val="pt-BR"/>
        </w:rPr>
      </w:r>
    </w:p>
    <w:p>
      <w:pPr>
        <w:pStyle w:val="LOnormal"/>
        <w:jc w:val="both"/>
        <w:rPr>
          <w:rFonts w:ascii="Arial" w:hAnsi="Arial" w:cs="Arial"/>
          <w:color w:val="000000" w:themeColor="text1"/>
          <w:sz w:val="22"/>
          <w:szCs w:val="22"/>
          <w:u w:val="none" w:color="000000"/>
        </w:rPr>
      </w:pPr>
      <w:r>
        <w:rPr>
          <w:rFonts w:cs="Arial" w:ascii="Arial" w:hAnsi="Arial"/>
          <w:b/>
          <w:bCs/>
          <w:color w:val="000000" w:themeColor="text1"/>
          <w:sz w:val="22"/>
          <w:szCs w:val="22"/>
        </w:rPr>
        <w:t>Referências</w:t>
      </w:r>
      <w:r>
        <w:rPr>
          <w:rFonts w:cs="Arial" w:ascii="Arial" w:hAnsi="Arial"/>
          <w:color w:val="000000" w:themeColor="text1"/>
          <w:sz w:val="22"/>
          <w:szCs w:val="22"/>
          <w:u w:val="none" w:color="000000"/>
        </w:rPr>
        <w:t xml:space="preserve"> </w:t>
      </w:r>
    </w:p>
    <w:p>
      <w:pPr>
        <w:pStyle w:val="LOnormal"/>
        <w:jc w:val="both"/>
        <w:rPr>
          <w:rFonts w:ascii="Arial" w:hAnsi="Arial" w:cs="Arial"/>
          <w:color w:val="000000" w:themeColor="text1"/>
          <w:sz w:val="22"/>
          <w:szCs w:val="22"/>
          <w:u w:val="none" w:color="000000"/>
        </w:rPr>
      </w:pPr>
      <w:r>
        <w:rPr>
          <w:rFonts w:cs="Arial" w:ascii="Arial" w:hAnsi="Arial"/>
          <w:color w:val="000000" w:themeColor="text1"/>
          <w:sz w:val="22"/>
          <w:szCs w:val="22"/>
          <w:u w:val="none" w:color="000000"/>
        </w:rPr>
      </w:r>
    </w:p>
    <w:p>
      <w:pPr>
        <w:pStyle w:val="LOnormal"/>
        <w:rPr>
          <w:rFonts w:ascii="Arial" w:hAnsi="Arial" w:cs="Arial"/>
          <w:color w:val="000000" w:themeColor="text1"/>
          <w:sz w:val="22"/>
          <w:szCs w:val="22"/>
        </w:rPr>
      </w:pPr>
      <w:r>
        <w:rPr>
          <w:rFonts w:cs="Arial" w:ascii="Arial" w:hAnsi="Arial"/>
          <w:color w:val="000000" w:themeColor="text1"/>
          <w:sz w:val="22"/>
          <w:szCs w:val="22"/>
        </w:rPr>
        <w:t>ASSOCIATION OF OFFICIAL ANALYTICAL CHEMISTS AOAC. Official methods of analysis.15. ed. Washington, DC. 1990.1441p.</w:t>
      </w:r>
    </w:p>
    <w:p>
      <w:pPr>
        <w:pStyle w:val="LOnormal"/>
        <w:rPr>
          <w:rFonts w:ascii="Arial" w:hAnsi="Arial" w:cs="Arial"/>
          <w:color w:val="000000" w:themeColor="text1"/>
          <w:sz w:val="22"/>
          <w:szCs w:val="22"/>
        </w:rPr>
      </w:pPr>
      <w:r>
        <w:rPr>
          <w:rFonts w:cs="Arial" w:ascii="Arial" w:hAnsi="Arial"/>
          <w:color w:val="000000" w:themeColor="text1"/>
          <w:sz w:val="22"/>
          <w:szCs w:val="22"/>
        </w:rPr>
      </w:r>
    </w:p>
    <w:p>
      <w:pPr>
        <w:pStyle w:val="Normal"/>
        <w:widowControl w:val="false"/>
        <w:rPr>
          <w:rStyle w:val="LinkdaInternet"/>
          <w:rFonts w:ascii="Arial" w:hAnsi="Arial" w:cs="Arial"/>
          <w:sz w:val="22"/>
          <w:szCs w:val="22"/>
        </w:rPr>
      </w:pPr>
      <w:r>
        <w:rPr>
          <w:rFonts w:cs="Arial" w:ascii="Arial" w:hAnsi="Arial"/>
          <w:sz w:val="22"/>
          <w:szCs w:val="22"/>
        </w:rPr>
        <w:t xml:space="preserve">BERNARD, S. A. </w:t>
      </w:r>
      <w:r>
        <w:rPr>
          <w:rFonts w:cs="Arial" w:ascii="Arial" w:hAnsi="Arial"/>
          <w:i/>
          <w:iCs/>
          <w:sz w:val="22"/>
          <w:szCs w:val="22"/>
        </w:rPr>
        <w:t>et al.</w:t>
      </w:r>
      <w:r>
        <w:rPr>
          <w:rFonts w:cs="Arial" w:ascii="Arial" w:hAnsi="Arial"/>
          <w:sz w:val="22"/>
          <w:szCs w:val="22"/>
        </w:rPr>
        <w:t xml:space="preserve"> Treatment of Comatose Survivors of Out-of-Hospital Cardiac Arrest with Induced Hypothermia. </w:t>
      </w:r>
      <w:r>
        <w:rPr>
          <w:rFonts w:cs="Arial" w:ascii="Arial" w:hAnsi="Arial"/>
          <w:b/>
          <w:bCs/>
          <w:sz w:val="22"/>
          <w:szCs w:val="22"/>
        </w:rPr>
        <w:t>New England Journal of Medicine</w:t>
      </w:r>
      <w:r>
        <w:rPr>
          <w:rFonts w:cs="Arial" w:ascii="Arial" w:hAnsi="Arial"/>
          <w:sz w:val="22"/>
          <w:szCs w:val="22"/>
        </w:rPr>
        <w:t>, [</w:t>
      </w:r>
      <w:r>
        <w:rPr>
          <w:rFonts w:cs="Arial" w:ascii="Arial" w:hAnsi="Arial"/>
          <w:i/>
          <w:iCs/>
          <w:sz w:val="22"/>
          <w:szCs w:val="22"/>
        </w:rPr>
        <w:t>s. l.</w:t>
      </w:r>
      <w:r>
        <w:rPr>
          <w:rFonts w:cs="Arial" w:ascii="Arial" w:hAnsi="Arial"/>
          <w:sz w:val="22"/>
          <w:szCs w:val="22"/>
        </w:rPr>
        <w:t xml:space="preserve">], v. 346, n. 8, p. 557–563, 2002. Available at: </w:t>
      </w:r>
      <w:hyperlink r:id="rId3">
        <w:r>
          <w:rPr>
            <w:rStyle w:val="LinkdaInternet"/>
            <w:rFonts w:cs="Arial" w:ascii="Arial" w:hAnsi="Arial"/>
            <w:sz w:val="22"/>
            <w:szCs w:val="22"/>
          </w:rPr>
          <w:t>https://doi.org/10.1056/NEJMoa003289</w:t>
        </w:r>
      </w:hyperlink>
      <w:r>
        <w:rPr>
          <w:rStyle w:val="LinkdaInternet"/>
          <w:rFonts w:cs="Arial" w:ascii="Arial" w:hAnsi="Arial"/>
          <w:sz w:val="22"/>
          <w:szCs w:val="22"/>
        </w:rPr>
        <w:t>.</w:t>
      </w:r>
    </w:p>
    <w:p>
      <w:pPr>
        <w:pStyle w:val="Normal"/>
        <w:widowControl w:val="false"/>
        <w:rPr>
          <w:rFonts w:ascii="Arial" w:hAnsi="Arial" w:cs="Arial"/>
          <w:sz w:val="22"/>
          <w:szCs w:val="22"/>
        </w:rPr>
      </w:pPr>
      <w:r>
        <w:rPr>
          <w:rFonts w:cs="Arial" w:ascii="Arial" w:hAnsi="Arial"/>
          <w:sz w:val="22"/>
          <w:szCs w:val="22"/>
        </w:rPr>
      </w:r>
    </w:p>
    <w:p>
      <w:pPr>
        <w:pStyle w:val="Normal"/>
        <w:rPr>
          <w:rFonts w:ascii="Arial" w:hAnsi="Arial" w:eastAsia="Times New Roman" w:cs="Arial"/>
          <w:sz w:val="22"/>
          <w:szCs w:val="22"/>
        </w:rPr>
      </w:pPr>
      <w:r>
        <w:rPr>
          <w:rFonts w:eastAsia="Times New Roman" w:cs="Arial" w:ascii="Arial" w:hAnsi="Arial"/>
          <w:sz w:val="22"/>
          <w:szCs w:val="22"/>
        </w:rPr>
        <w:t xml:space="preserve">DALL-ORSOLETTA, A. C </w:t>
      </w:r>
      <w:r>
        <w:rPr>
          <w:rFonts w:eastAsia="Times New Roman" w:cs="Arial" w:ascii="Arial" w:hAnsi="Arial"/>
          <w:i/>
          <w:sz w:val="22"/>
          <w:szCs w:val="22"/>
        </w:rPr>
        <w:t>et al.</w:t>
      </w:r>
      <w:r>
        <w:rPr>
          <w:rFonts w:eastAsia="Times New Roman" w:cs="Arial" w:ascii="Arial" w:hAnsi="Arial"/>
          <w:sz w:val="22"/>
          <w:szCs w:val="22"/>
        </w:rPr>
        <w:t xml:space="preserve"> Associative effects between Arachis pintoi and dwarf elephantgrass hays on nutritional value in sheep. </w:t>
      </w:r>
      <w:r>
        <w:rPr>
          <w:rFonts w:eastAsia="Times New Roman" w:cs="Arial" w:ascii="Arial" w:hAnsi="Arial"/>
          <w:b/>
          <w:bCs/>
          <w:sz w:val="22"/>
          <w:szCs w:val="22"/>
        </w:rPr>
        <w:t>Animal Production Science</w:t>
      </w:r>
      <w:r>
        <w:rPr>
          <w:rFonts w:eastAsia="Times New Roman" w:cs="Arial" w:ascii="Arial" w:hAnsi="Arial"/>
          <w:sz w:val="22"/>
          <w:szCs w:val="22"/>
        </w:rPr>
        <w:t xml:space="preserve">, vol. 58, no. 5, p. 894–899, 2018. DOI 10.1071/AN15864. Available at: </w:t>
      </w:r>
      <w:r>
        <w:rPr>
          <w:rFonts w:eastAsia="Times New Roman" w:cs="Arial" w:ascii="Arial" w:hAnsi="Arial"/>
          <w:sz w:val="22"/>
          <w:szCs w:val="22"/>
          <w:u w:val="single"/>
        </w:rPr>
        <w:t>http://www.publish.csiro.au/an/issue/8727</w:t>
      </w:r>
      <w:r>
        <w:rPr>
          <w:rFonts w:eastAsia="Times New Roman" w:cs="Arial" w:ascii="Arial" w:hAnsi="Arial"/>
          <w:sz w:val="22"/>
          <w:szCs w:val="22"/>
        </w:rPr>
        <w:t>.</w:t>
      </w:r>
    </w:p>
    <w:p>
      <w:pPr>
        <w:pStyle w:val="Normal"/>
        <w:widowControl w:val="false"/>
        <w:rPr>
          <w:rFonts w:ascii="Arial" w:hAnsi="Arial" w:cs="Arial"/>
          <w:sz w:val="22"/>
          <w:szCs w:val="22"/>
        </w:rPr>
      </w:pPr>
      <w:r>
        <w:rPr>
          <w:rFonts w:cs="Arial" w:ascii="Arial" w:hAnsi="Arial"/>
          <w:sz w:val="22"/>
          <w:szCs w:val="22"/>
        </w:rPr>
      </w:r>
    </w:p>
    <w:p>
      <w:pPr>
        <w:pStyle w:val="Normal"/>
        <w:rPr>
          <w:rFonts w:ascii="Arial" w:hAnsi="Arial" w:eastAsia="Arial" w:cs="Arial"/>
          <w:sz w:val="22"/>
          <w:szCs w:val="22"/>
        </w:rPr>
      </w:pPr>
      <w:r>
        <w:rPr>
          <w:rFonts w:eastAsia="Arial" w:cs="Arial" w:ascii="Arial" w:hAnsi="Arial"/>
          <w:sz w:val="22"/>
          <w:szCs w:val="22"/>
        </w:rPr>
        <w:t xml:space="preserve">GRACE, C. et al. The effect of grazing versus cutting on dry matter production of multispecies and perennial ryegrass-only swards. </w:t>
      </w:r>
      <w:r>
        <w:rPr>
          <w:rFonts w:eastAsia="Arial" w:cs="Arial" w:ascii="Arial" w:hAnsi="Arial"/>
          <w:b/>
          <w:bCs/>
          <w:sz w:val="22"/>
          <w:szCs w:val="22"/>
        </w:rPr>
        <w:t>Grass and Forage Science</w:t>
      </w:r>
      <w:r>
        <w:rPr>
          <w:rFonts w:eastAsia="Arial" w:cs="Arial" w:ascii="Arial" w:hAnsi="Arial"/>
          <w:sz w:val="22"/>
          <w:szCs w:val="22"/>
        </w:rPr>
        <w:t xml:space="preserve"> v. 74, n. 3, p. 437–449, 2019.</w:t>
      </w:r>
    </w:p>
    <w:p>
      <w:pPr>
        <w:pStyle w:val="Normal"/>
        <w:rPr>
          <w:rFonts w:ascii="Arial" w:hAnsi="Arial" w:eastAsia="Arial" w:cs="Arial"/>
          <w:sz w:val="22"/>
          <w:szCs w:val="22"/>
        </w:rPr>
      </w:pPr>
      <w:r>
        <w:rPr>
          <w:rFonts w:eastAsia="Arial" w:cs="Arial" w:ascii="Arial" w:hAnsi="Arial"/>
          <w:sz w:val="22"/>
          <w:szCs w:val="22"/>
        </w:rPr>
      </w:r>
    </w:p>
    <w:p>
      <w:pPr>
        <w:pStyle w:val="LOnormal"/>
        <w:rPr>
          <w:rFonts w:ascii="Arial" w:hAnsi="Arial" w:cs="Arial"/>
          <w:sz w:val="22"/>
          <w:szCs w:val="22"/>
          <w:lang w:val="pt-BR"/>
        </w:rPr>
      </w:pPr>
      <w:r>
        <w:rPr>
          <w:rFonts w:cs="Arial" w:ascii="Arial" w:hAnsi="Arial"/>
          <w:sz w:val="22"/>
          <w:szCs w:val="22"/>
        </w:rPr>
        <w:t xml:space="preserve">KEMP, P. D.; KENYON, P. R.; MORRIS, S. T. The use of legume and herb forage species to create high performance pastures for sheep and cattle grazing systems. </w:t>
      </w:r>
      <w:r>
        <w:rPr>
          <w:rFonts w:cs="Arial" w:ascii="Arial" w:hAnsi="Arial"/>
          <w:b/>
          <w:bCs/>
          <w:sz w:val="22"/>
          <w:szCs w:val="22"/>
          <w:lang w:val="pt-BR"/>
        </w:rPr>
        <w:t>Revista Brasileira de Zootecnia</w:t>
      </w:r>
      <w:r>
        <w:rPr>
          <w:rFonts w:cs="Arial" w:ascii="Arial" w:hAnsi="Arial"/>
          <w:sz w:val="22"/>
          <w:szCs w:val="22"/>
          <w:lang w:val="pt-BR"/>
        </w:rPr>
        <w:t>, [</w:t>
      </w:r>
      <w:r>
        <w:rPr>
          <w:rFonts w:cs="Arial" w:ascii="Arial" w:hAnsi="Arial"/>
          <w:i/>
          <w:iCs/>
          <w:sz w:val="22"/>
          <w:szCs w:val="22"/>
          <w:lang w:val="pt-BR"/>
        </w:rPr>
        <w:t>s. l.</w:t>
      </w:r>
      <w:r>
        <w:rPr>
          <w:rFonts w:cs="Arial" w:ascii="Arial" w:hAnsi="Arial"/>
          <w:sz w:val="22"/>
          <w:szCs w:val="22"/>
          <w:lang w:val="pt-BR"/>
        </w:rPr>
        <w:t>], v. 39, n. suppl spe, p. 169–174, 2010.</w:t>
      </w:r>
    </w:p>
    <w:p>
      <w:pPr>
        <w:pStyle w:val="Normal"/>
        <w:rPr>
          <w:rFonts w:ascii="Arial" w:hAnsi="Arial" w:eastAsia="Arial" w:cs="Arial"/>
          <w:sz w:val="22"/>
          <w:szCs w:val="22"/>
          <w:lang w:val="pt-BR"/>
        </w:rPr>
      </w:pPr>
      <w:r>
        <w:rPr>
          <w:rFonts w:eastAsia="Arial" w:cs="Arial" w:ascii="Arial" w:hAnsi="Arial"/>
          <w:sz w:val="22"/>
          <w:szCs w:val="22"/>
          <w:lang w:val="pt-BR"/>
        </w:rPr>
      </w:r>
    </w:p>
    <w:p>
      <w:pPr>
        <w:pStyle w:val="Normal"/>
        <w:widowControl w:val="false"/>
        <w:rPr>
          <w:rFonts w:ascii="Arial" w:hAnsi="Arial" w:cs="Arial"/>
          <w:sz w:val="22"/>
          <w:szCs w:val="22"/>
        </w:rPr>
      </w:pPr>
      <w:r>
        <w:rPr>
          <w:rFonts w:cs="Arial" w:ascii="Arial" w:hAnsi="Arial"/>
          <w:sz w:val="22"/>
          <w:szCs w:val="22"/>
        </w:rPr>
        <w:t xml:space="preserve">MUCK, R. E.; KUNG, L.; COLLINS, M. Silage Production. </w:t>
      </w:r>
      <w:r>
        <w:rPr>
          <w:rFonts w:cs="Arial" w:ascii="Arial" w:hAnsi="Arial"/>
          <w:i/>
          <w:iCs/>
          <w:sz w:val="22"/>
          <w:szCs w:val="22"/>
        </w:rPr>
        <w:t>In</w:t>
      </w:r>
      <w:r>
        <w:rPr>
          <w:rFonts w:cs="Arial" w:ascii="Arial" w:hAnsi="Arial"/>
          <w:sz w:val="22"/>
          <w:szCs w:val="22"/>
        </w:rPr>
        <w:t>: FORAGES. [</w:t>
      </w:r>
      <w:r>
        <w:rPr>
          <w:rFonts w:cs="Arial" w:ascii="Arial" w:hAnsi="Arial"/>
          <w:i/>
          <w:iCs/>
          <w:sz w:val="22"/>
          <w:szCs w:val="22"/>
        </w:rPr>
        <w:t>S. l.</w:t>
      </w:r>
      <w:r>
        <w:rPr>
          <w:rFonts w:cs="Arial" w:ascii="Arial" w:hAnsi="Arial"/>
          <w:sz w:val="22"/>
          <w:szCs w:val="22"/>
        </w:rPr>
        <w:t xml:space="preserve">]: Wiley, 2020. v. II, p. 767–787. Available at: </w:t>
      </w:r>
      <w:hyperlink r:id="rId4">
        <w:r>
          <w:rPr>
            <w:rStyle w:val="LinkdaInternet"/>
            <w:rFonts w:cs="Arial" w:ascii="Arial" w:hAnsi="Arial"/>
            <w:sz w:val="22"/>
            <w:szCs w:val="22"/>
          </w:rPr>
          <w:t>https://doi.org/10.1002/9781119436669.ch42</w:t>
        </w:r>
      </w:hyperlink>
      <w:r>
        <w:rPr>
          <w:rStyle w:val="LinkdaInternet"/>
          <w:rFonts w:cs="Arial" w:ascii="Arial" w:hAnsi="Arial"/>
          <w:sz w:val="22"/>
          <w:szCs w:val="22"/>
        </w:rPr>
        <w:t>.</w:t>
      </w:r>
    </w:p>
    <w:p>
      <w:pPr>
        <w:pStyle w:val="Normal"/>
        <w:widowControl w:val="false"/>
        <w:rPr>
          <w:rFonts w:ascii="Arial" w:hAnsi="Arial" w:cs="Arial"/>
          <w:sz w:val="22"/>
          <w:szCs w:val="22"/>
        </w:rPr>
      </w:pPr>
      <w:r>
        <w:rPr>
          <w:rFonts w:cs="Arial" w:ascii="Arial" w:hAnsi="Arial"/>
          <w:sz w:val="22"/>
          <w:szCs w:val="22"/>
        </w:rPr>
      </w:r>
    </w:p>
    <w:p>
      <w:pPr>
        <w:pStyle w:val="Normal"/>
        <w:rPr>
          <w:rFonts w:ascii="Arial" w:hAnsi="Arial" w:eastAsia="Arial" w:cs="Arial"/>
          <w:sz w:val="22"/>
          <w:szCs w:val="22"/>
        </w:rPr>
      </w:pPr>
      <w:r>
        <w:rPr>
          <w:rFonts w:eastAsia="Arial" w:cs="Arial" w:ascii="Arial" w:hAnsi="Arial"/>
          <w:sz w:val="22"/>
          <w:szCs w:val="22"/>
        </w:rPr>
        <w:t xml:space="preserve">NIDERKORN, V.; BAUMONT, R. Associative effects between forages on feed intake and digestion in ruminants. </w:t>
      </w:r>
      <w:r>
        <w:rPr>
          <w:rFonts w:eastAsia="Arial" w:cs="Arial" w:ascii="Arial" w:hAnsi="Arial"/>
          <w:b/>
          <w:bCs/>
          <w:sz w:val="22"/>
          <w:szCs w:val="22"/>
        </w:rPr>
        <w:t>Animal</w:t>
      </w:r>
      <w:r>
        <w:rPr>
          <w:rFonts w:eastAsia="Arial" w:cs="Arial" w:ascii="Arial" w:hAnsi="Arial"/>
          <w:sz w:val="22"/>
          <w:szCs w:val="22"/>
        </w:rPr>
        <w:t xml:space="preserve"> v. 3, n. 07, p. 951–960, Jul. 2009. </w:t>
      </w:r>
    </w:p>
    <w:p>
      <w:pPr>
        <w:pStyle w:val="Normal"/>
        <w:rPr>
          <w:rFonts w:ascii="Arial" w:hAnsi="Arial" w:eastAsia="Arial" w:cs="Arial"/>
          <w:sz w:val="22"/>
          <w:szCs w:val="22"/>
        </w:rPr>
      </w:pPr>
      <w:r>
        <w:rPr>
          <w:rFonts w:eastAsia="Arial" w:cs="Arial" w:ascii="Arial" w:hAnsi="Arial"/>
          <w:sz w:val="22"/>
          <w:szCs w:val="22"/>
        </w:rPr>
      </w:r>
    </w:p>
    <w:p>
      <w:pPr>
        <w:pStyle w:val="Normal"/>
        <w:rPr>
          <w:rFonts w:ascii="Arial" w:hAnsi="Arial" w:eastAsia="Arial" w:cs="Arial"/>
          <w:sz w:val="22"/>
          <w:szCs w:val="22"/>
        </w:rPr>
      </w:pPr>
      <w:r>
        <w:rPr>
          <w:rFonts w:eastAsia="Arial" w:cs="Arial" w:ascii="Arial" w:hAnsi="Arial"/>
          <w:sz w:val="22"/>
          <w:szCs w:val="22"/>
        </w:rPr>
        <w:t xml:space="preserve">PRACHE, S. et al. Comparison of meat and carcass quality in organically reared and conventionally reared pasture-fed lambs. </w:t>
      </w:r>
      <w:r>
        <w:rPr>
          <w:rFonts w:eastAsia="Arial" w:cs="Arial" w:ascii="Arial" w:hAnsi="Arial"/>
          <w:b/>
          <w:bCs/>
          <w:sz w:val="22"/>
          <w:szCs w:val="22"/>
        </w:rPr>
        <w:t>Animal</w:t>
      </w:r>
      <w:r>
        <w:rPr>
          <w:rFonts w:eastAsia="Arial" w:cs="Arial" w:ascii="Arial" w:hAnsi="Arial"/>
          <w:sz w:val="22"/>
          <w:szCs w:val="22"/>
        </w:rPr>
        <w:t xml:space="preserve">, [s. l.], v. 5, n. 12, p. 2001–2009, 2011. Available at: </w:t>
      </w:r>
      <w:r>
        <w:rPr>
          <w:rFonts w:eastAsia="Arial" w:cs="Arial" w:ascii="Arial" w:hAnsi="Arial"/>
          <w:sz w:val="22"/>
          <w:szCs w:val="22"/>
          <w:u w:val="single"/>
        </w:rPr>
        <w:t>https://doi.org/10.1017/S1751731111001030</w:t>
      </w:r>
      <w:r>
        <w:rPr>
          <w:rFonts w:eastAsia="Arial" w:cs="Arial" w:ascii="Arial" w:hAnsi="Arial"/>
          <w:sz w:val="22"/>
          <w:szCs w:val="22"/>
        </w:rPr>
        <w:t>.</w:t>
      </w:r>
    </w:p>
    <w:p>
      <w:pPr>
        <w:pStyle w:val="Normal"/>
        <w:rPr>
          <w:rFonts w:ascii="Arial" w:hAnsi="Arial" w:eastAsia="Arial" w:cs="Arial"/>
          <w:sz w:val="22"/>
          <w:szCs w:val="22"/>
        </w:rPr>
      </w:pPr>
      <w:r>
        <w:rPr>
          <w:rFonts w:eastAsia="Arial" w:cs="Arial" w:ascii="Arial" w:hAnsi="Arial"/>
          <w:sz w:val="22"/>
          <w:szCs w:val="22"/>
        </w:rPr>
      </w:r>
    </w:p>
    <w:p>
      <w:pPr>
        <w:pStyle w:val="Normal"/>
        <w:rPr>
          <w:rFonts w:ascii="Arial" w:hAnsi="Arial" w:cs="Arial"/>
          <w:sz w:val="22"/>
          <w:szCs w:val="22"/>
        </w:rPr>
      </w:pPr>
      <w:r>
        <w:rPr>
          <w:rFonts w:eastAsia="Arial" w:cs="Arial" w:ascii="Arial" w:hAnsi="Arial"/>
          <w:sz w:val="22"/>
          <w:szCs w:val="22"/>
        </w:rPr>
        <w:t xml:space="preserve">WAGHORN, G. C.; TAVENDALE, M. H.; WOODFIELD, D. R. Methanogenesis from forages fed to sheep. </w:t>
      </w:r>
      <w:r>
        <w:rPr>
          <w:rFonts w:eastAsia="Arial" w:cs="Arial" w:ascii="Arial" w:hAnsi="Arial"/>
          <w:b/>
          <w:bCs/>
          <w:sz w:val="22"/>
          <w:szCs w:val="22"/>
        </w:rPr>
        <w:t>Proceedings of the New Zealand Grassland Association</w:t>
      </w:r>
      <w:r>
        <w:rPr>
          <w:rFonts w:eastAsia="Arial" w:cs="Arial" w:ascii="Arial" w:hAnsi="Arial"/>
          <w:sz w:val="22"/>
          <w:szCs w:val="22"/>
        </w:rPr>
        <w:t>, [</w:t>
      </w:r>
      <w:r>
        <w:rPr>
          <w:rFonts w:eastAsia="Arial" w:cs="Arial" w:ascii="Arial" w:hAnsi="Arial"/>
          <w:i/>
          <w:iCs/>
          <w:sz w:val="22"/>
          <w:szCs w:val="22"/>
        </w:rPr>
        <w:t>s. l.</w:t>
      </w:r>
      <w:r>
        <w:rPr>
          <w:rFonts w:eastAsia="Arial" w:cs="Arial" w:ascii="Arial" w:hAnsi="Arial"/>
          <w:sz w:val="22"/>
          <w:szCs w:val="22"/>
        </w:rPr>
        <w:t xml:space="preserve">], v. 64, p. 167–171, 2002. Available at: </w:t>
      </w:r>
      <w:hyperlink r:id="rId5">
        <w:r>
          <w:rPr>
            <w:rStyle w:val="LinkdaInternet"/>
            <w:rFonts w:eastAsia="Times New Roman" w:cs="Arial" w:ascii="Arial" w:hAnsi="Arial"/>
            <w:sz w:val="22"/>
            <w:szCs w:val="22"/>
          </w:rPr>
          <w:t>https://doi.org/10.33584/jnzg.2002.64.2462</w:t>
        </w:r>
      </w:hyperlink>
      <w:r>
        <w:rPr>
          <w:rStyle w:val="LinkdaInternet"/>
          <w:rFonts w:eastAsia="Times New Roman" w:cs="Arial" w:ascii="Arial" w:hAnsi="Arial"/>
          <w:sz w:val="22"/>
          <w:szCs w:val="22"/>
        </w:rPr>
        <w:t>.</w:t>
      </w:r>
    </w:p>
    <w:sectPr>
      <w:headerReference w:type="default" r:id="rId6"/>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ambria">
    <w:charset w:val="00"/>
    <w:family w:val="roman"/>
    <w:pitch w:val="variable"/>
  </w:font>
  <w:font w:name="Helvetica Neue">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0" distT="0" distB="0" distL="114300" distR="114300" simplePos="0" locked="0" layoutInCell="0" allowOverlap="1" relativeHeight="4">
          <wp:simplePos x="0" y="0"/>
          <wp:positionH relativeFrom="page">
            <wp:posOffset>-13970</wp:posOffset>
          </wp:positionH>
          <wp:positionV relativeFrom="page">
            <wp:align>top</wp:align>
          </wp:positionV>
          <wp:extent cx="7556500" cy="1115060"/>
          <wp:effectExtent l="0" t="0" r="0" b="0"/>
          <wp:wrapSquare wrapText="bothSides"/>
          <wp:docPr id="1" name="Imagem 581177192"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81177192" descr="Cabeçalho SBSS-02.jpg"/>
                  <pic:cNvPicPr>
                    <a:picLocks noChangeAspect="1" noChangeArrowheads="1"/>
                  </pic:cNvPicPr>
                </pic:nvPicPr>
                <pic:blipFill>
                  <a:blip r:embed="rId1"/>
                  <a:stretch>
                    <a:fillRect/>
                  </a:stretch>
                </pic:blipFill>
                <pic:spPr bwMode="auto">
                  <a:xfrm>
                    <a:off x="0" y="0"/>
                    <a:ext cx="7556500" cy="1115060"/>
                  </a:xfrm>
                  <a:prstGeom prst="rect">
                    <a:avLst/>
                  </a:prstGeom>
                </pic:spPr>
              </pic:pic>
            </a:graphicData>
          </a:graphic>
        </wp:anchor>
      </w:drawing>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c7d7a"/>
    <w:pPr>
      <w:widowControl/>
      <w:suppressAutoHyphens w:val="false"/>
      <w:bidi w:val="0"/>
      <w:spacing w:before="0" w:after="0"/>
      <w:jc w:val="left"/>
    </w:pPr>
    <w:rPr>
      <w:rFonts w:ascii="Times New Roman" w:hAnsi="Times New Roman" w:eastAsia="Arial Unicode MS"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LinkdaInternet">
    <w:name w:val="Link da Internet"/>
    <w:rsid w:val="00c71007"/>
    <w:rPr>
      <w:u w:val="single"/>
    </w:rPr>
  </w:style>
  <w:style w:type="character" w:styleId="CabealhoChar" w:customStyle="1">
    <w:name w:val="Cabeçalho Char"/>
    <w:basedOn w:val="DefaultParagraphFont"/>
    <w:uiPriority w:val="99"/>
    <w:qFormat/>
    <w:rsid w:val="00314c0f"/>
    <w:rPr>
      <w:sz w:val="24"/>
      <w:szCs w:val="24"/>
      <w:lang w:val="en-US" w:eastAsia="en-US"/>
    </w:rPr>
  </w:style>
  <w:style w:type="character" w:styleId="RodapChar" w:customStyle="1">
    <w:name w:val="Rodapé Char"/>
    <w:basedOn w:val="DefaultParagraphFont"/>
    <w:uiPriority w:val="99"/>
    <w:qFormat/>
    <w:rsid w:val="00314c0f"/>
    <w:rPr>
      <w:sz w:val="24"/>
      <w:szCs w:val="24"/>
      <w:lang w:val="en-US" w:eastAsia="en-US"/>
    </w:rPr>
  </w:style>
  <w:style w:type="character" w:styleId="TextodecomentrioChar" w:customStyle="1">
    <w:name w:val="Texto de comentário Char"/>
    <w:basedOn w:val="DefaultParagraphFont"/>
    <w:link w:val="Annotationtext"/>
    <w:uiPriority w:val="99"/>
    <w:semiHidden/>
    <w:qFormat/>
    <w:rPr>
      <w:lang w:val="en-US" w:eastAsia="en-US"/>
    </w:rPr>
  </w:style>
  <w:style w:type="character" w:styleId="Annotationreference">
    <w:name w:val="annotation reference"/>
    <w:basedOn w:val="DefaultParagraphFont"/>
    <w:uiPriority w:val="99"/>
    <w:semiHidden/>
    <w:unhideWhenUsed/>
    <w:qFormat/>
    <w:rPr>
      <w:sz w:val="16"/>
      <w:szCs w:val="16"/>
    </w:rPr>
  </w:style>
  <w:style w:type="character" w:styleId="MenoPendente1" w:customStyle="1">
    <w:name w:val="Menção Pendente1"/>
    <w:basedOn w:val="DefaultParagraphFont"/>
    <w:uiPriority w:val="99"/>
    <w:semiHidden/>
    <w:unhideWhenUsed/>
    <w:qFormat/>
    <w:rsid w:val="00287b55"/>
    <w:rPr>
      <w:color w:val="605E5C"/>
      <w:shd w:fill="E1DFDD" w:val="clear"/>
    </w:rPr>
  </w:style>
  <w:style w:type="character" w:styleId="TextodenotadefimChar" w:customStyle="1">
    <w:name w:val="Texto de nota de fim Char"/>
    <w:basedOn w:val="DefaultParagraphFont"/>
    <w:uiPriority w:val="99"/>
    <w:semiHidden/>
    <w:qFormat/>
    <w:rsid w:val="00287b55"/>
    <w:rPr>
      <w:rFonts w:eastAsia="Times New Roman"/>
    </w:rPr>
  </w:style>
  <w:style w:type="character" w:styleId="TextodebaloChar" w:customStyle="1">
    <w:name w:val="Texto de balão Char"/>
    <w:basedOn w:val="DefaultParagraphFont"/>
    <w:link w:val="BalloonText"/>
    <w:uiPriority w:val="99"/>
    <w:semiHidden/>
    <w:qFormat/>
    <w:rsid w:val="001d5e98"/>
    <w:rPr>
      <w:rFonts w:ascii="Segoe UI" w:hAnsi="Segoe UI" w:cs="Segoe UI"/>
      <w:sz w:val="18"/>
      <w:szCs w:val="18"/>
      <w:lang w:val="en-US" w:eastAsia="en-US"/>
    </w:rPr>
  </w:style>
  <w:style w:type="character" w:styleId="AssuntodocomentrioChar" w:customStyle="1">
    <w:name w:val="Assunto do comentário Char"/>
    <w:basedOn w:val="TextodecomentrioChar"/>
    <w:link w:val="Annotationsubject"/>
    <w:uiPriority w:val="99"/>
    <w:semiHidden/>
    <w:qFormat/>
    <w:rsid w:val="00665295"/>
    <w:rPr>
      <w:b/>
      <w:bCs/>
      <w:lang w:val="en-US" w:eastAsia="en-U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rPr>
  </w:style>
  <w:style w:type="paragraph" w:styleId="LOnormal" w:customStyle="1">
    <w:name w:val="LO-normal"/>
    <w:qFormat/>
    <w:pPr>
      <w:widowControl/>
      <w:suppressAutoHyphens w:val="true"/>
      <w:bidi w:val="0"/>
      <w:spacing w:before="0" w:after="0"/>
      <w:jc w:val="left"/>
    </w:pPr>
    <w:rPr>
      <w:rFonts w:ascii="Cambria" w:hAnsi="Cambria" w:cs="Arial Unicode MS" w:eastAsia="Arial Unicode MS"/>
      <w:color w:val="00000A"/>
      <w:kern w:val="0"/>
      <w:sz w:val="24"/>
      <w:szCs w:val="24"/>
      <w:u w:val="none" w:color="00000A"/>
      <w:lang w:val="en-US" w:eastAsia="pt-BR" w:bidi="ar-SA"/>
    </w:rPr>
  </w:style>
  <w:style w:type="paragraph" w:styleId="CabealhoeRodap" w:customStyle="1">
    <w:name w:val="Cabeçalho e Rodapé"/>
    <w:qFormat/>
    <w:pPr>
      <w:widowControl/>
      <w:tabs>
        <w:tab w:val="clear" w:pos="720"/>
        <w:tab w:val="right" w:pos="9020" w:leader="none"/>
      </w:tabs>
      <w:suppressAutoHyphens w:val="true"/>
      <w:bidi w:val="0"/>
      <w:spacing w:before="0" w:after="0"/>
      <w:jc w:val="left"/>
    </w:pPr>
    <w:rPr>
      <w:rFonts w:ascii="Helvetica Neue" w:hAnsi="Helvetica Neue" w:cs="Arial Unicode MS" w:eastAsia="Arial Unicode MS"/>
      <w:color w:val="000000"/>
      <w:kern w:val="0"/>
      <w:sz w:val="24"/>
      <w:szCs w:val="24"/>
      <w:lang w:val="pt-BR" w:eastAsia="pt-BR" w:bidi="ar-SA"/>
    </w:rPr>
  </w:style>
  <w:style w:type="paragraph" w:styleId="Revision">
    <w:name w:val="Revision"/>
    <w:uiPriority w:val="99"/>
    <w:semiHidden/>
    <w:qFormat/>
    <w:rsid w:val="009a59da"/>
    <w:pPr>
      <w:widowControl/>
      <w:suppressAutoHyphens w:val="true"/>
      <w:bidi w:val="0"/>
      <w:spacing w:before="0" w:after="0"/>
      <w:jc w:val="left"/>
    </w:pPr>
    <w:rPr>
      <w:rFonts w:ascii="Times New Roman" w:hAnsi="Times New Roman" w:eastAsia="Arial Unicode MS" w:cs="Times New Roman"/>
      <w:color w:val="auto"/>
      <w:kern w:val="0"/>
      <w:sz w:val="24"/>
      <w:szCs w:val="24"/>
      <w:lang w:val="en-US" w:eastAsia="en-US" w:bidi="ar-SA"/>
    </w:rPr>
  </w:style>
  <w:style w:type="paragraph" w:styleId="Cabealho">
    <w:name w:val="Header"/>
    <w:basedOn w:val="Normal"/>
    <w:link w:val="CabealhoChar"/>
    <w:uiPriority w:val="99"/>
    <w:unhideWhenUsed/>
    <w:rsid w:val="00314c0f"/>
    <w:pPr>
      <w:tabs>
        <w:tab w:val="clear" w:pos="720"/>
        <w:tab w:val="center" w:pos="4252" w:leader="none"/>
        <w:tab w:val="right" w:pos="8504" w:leader="none"/>
      </w:tabs>
    </w:pPr>
    <w:rPr/>
  </w:style>
  <w:style w:type="paragraph" w:styleId="Rodap">
    <w:name w:val="Footer"/>
    <w:basedOn w:val="Normal"/>
    <w:link w:val="RodapChar"/>
    <w:uiPriority w:val="99"/>
    <w:unhideWhenUsed/>
    <w:rsid w:val="00314c0f"/>
    <w:pPr>
      <w:tabs>
        <w:tab w:val="clear" w:pos="720"/>
        <w:tab w:val="center" w:pos="4252" w:leader="none"/>
        <w:tab w:val="right" w:pos="8504" w:leader="none"/>
      </w:tabs>
    </w:pPr>
    <w:rPr/>
  </w:style>
  <w:style w:type="paragraph" w:styleId="Annotationtext">
    <w:name w:val="annotation text"/>
    <w:basedOn w:val="Normal"/>
    <w:link w:val="TextodecomentrioChar"/>
    <w:uiPriority w:val="99"/>
    <w:semiHidden/>
    <w:unhideWhenUsed/>
    <w:qFormat/>
    <w:pPr/>
    <w:rPr>
      <w:sz w:val="20"/>
      <w:szCs w:val="20"/>
    </w:rPr>
  </w:style>
  <w:style w:type="paragraph" w:styleId="Notadefim">
    <w:name w:val="Endnote Text"/>
    <w:basedOn w:val="Normal"/>
    <w:link w:val="TextodenotadefimChar"/>
    <w:uiPriority w:val="99"/>
    <w:semiHidden/>
    <w:rsid w:val="00287b55"/>
    <w:pPr/>
    <w:rPr>
      <w:rFonts w:eastAsia="Times New Roman"/>
      <w:sz w:val="20"/>
      <w:szCs w:val="20"/>
      <w:lang w:val="pt-BR" w:eastAsia="pt-BR"/>
    </w:rPr>
  </w:style>
  <w:style w:type="paragraph" w:styleId="BalloonText">
    <w:name w:val="Balloon Text"/>
    <w:basedOn w:val="Normal"/>
    <w:link w:val="TextodebaloChar"/>
    <w:uiPriority w:val="99"/>
    <w:semiHidden/>
    <w:unhideWhenUsed/>
    <w:qFormat/>
    <w:rsid w:val="001d5e98"/>
    <w:pPr/>
    <w:rPr>
      <w:rFonts w:ascii="Segoe UI" w:hAnsi="Segoe UI" w:cs="Segoe UI"/>
      <w:sz w:val="18"/>
      <w:szCs w:val="18"/>
    </w:rPr>
  </w:style>
  <w:style w:type="paragraph" w:styleId="Annotationsubject">
    <w:name w:val="annotation subject"/>
    <w:basedOn w:val="Annotationtext"/>
    <w:next w:val="Annotationtext"/>
    <w:link w:val="AssuntodocomentrioChar"/>
    <w:uiPriority w:val="99"/>
    <w:semiHidden/>
    <w:unhideWhenUsed/>
    <w:qFormat/>
    <w:rsid w:val="00665295"/>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maria.martini@edu.udesc.br" TargetMode="External"/><Relationship Id="rId3" Type="http://schemas.openxmlformats.org/officeDocument/2006/relationships/hyperlink" Target="https://doi.org/10.1056/NEJMoa003289" TargetMode="External"/><Relationship Id="rId4" Type="http://schemas.openxmlformats.org/officeDocument/2006/relationships/hyperlink" Target="https://doi.org/10.1002/9781119436669.ch42" TargetMode="External"/><Relationship Id="rId5" Type="http://schemas.openxmlformats.org/officeDocument/2006/relationships/hyperlink" Target="https://doi.org/10.33584/jnzg.2002.64.2462" TargetMode="Externa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Relationship Id="rId12" Type="http://schemas.openxmlformats.org/officeDocument/2006/relationships/customXml" Target="../customXml/item3.xml"/><Relationship Id="rId13" Type="http://schemas.openxmlformats.org/officeDocument/2006/relationships/customXml" Target="../customXml/item4.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190bee1-42b9-4362-9dc8-2229f310bd3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886399F21440F54B81A4893F74DA4F94" ma:contentTypeVersion="16" ma:contentTypeDescription="Crie um novo documento." ma:contentTypeScope="" ma:versionID="da7946009fe8fe74fc5cf2713fdbb5e5">
  <xsd:schema xmlns:xsd="http://www.w3.org/2001/XMLSchema" xmlns:xs="http://www.w3.org/2001/XMLSchema" xmlns:p="http://schemas.microsoft.com/office/2006/metadata/properties" xmlns:ns3="0190bee1-42b9-4362-9dc8-2229f310bd34" xmlns:ns4="03f302f1-8385-4b47-b4da-efe960dc451d" targetNamespace="http://schemas.microsoft.com/office/2006/metadata/properties" ma:root="true" ma:fieldsID="66c1c9e926b23672004bf24ae18bb773" ns3:_="" ns4:_="">
    <xsd:import namespace="0190bee1-42b9-4362-9dc8-2229f310bd34"/>
    <xsd:import namespace="03f302f1-8385-4b47-b4da-efe960dc451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90bee1-42b9-4362-9dc8-2229f310bd3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f302f1-8385-4b47-b4da-efe960dc451d"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SharingHintHash" ma:index="20" nillable="true" ma:displayName="Hash de Dica de Compartilhamento"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AEAD90-E376-4AEC-BB6B-04B137A45EDA}">
  <ds:schemaRefs>
    <ds:schemaRef ds:uri="http://schemas.microsoft.com/office/2006/metadata/properties"/>
    <ds:schemaRef ds:uri="http://schemas.microsoft.com/office/infopath/2007/PartnerControls"/>
    <ds:schemaRef ds:uri="0190bee1-42b9-4362-9dc8-2229f310bd34"/>
  </ds:schemaRefs>
</ds:datastoreItem>
</file>

<file path=customXml/itemProps2.xml><?xml version="1.0" encoding="utf-8"?>
<ds:datastoreItem xmlns:ds="http://schemas.openxmlformats.org/officeDocument/2006/customXml" ds:itemID="{1358C9E0-34DA-400D-B1F5-29D15EE3A04D}">
  <ds:schemaRefs>
    <ds:schemaRef ds:uri="http://schemas.openxmlformats.org/officeDocument/2006/bibliography"/>
  </ds:schemaRefs>
</ds:datastoreItem>
</file>

<file path=customXml/itemProps3.xml><?xml version="1.0" encoding="utf-8"?>
<ds:datastoreItem xmlns:ds="http://schemas.openxmlformats.org/officeDocument/2006/customXml" ds:itemID="{D1037F75-35E4-4B54-9590-DB957B87F1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90bee1-42b9-4362-9dc8-2229f310bd34"/>
    <ds:schemaRef ds:uri="03f302f1-8385-4b47-b4da-efe960dc45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2078E6-887C-4771-846E-E9E037BD67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Application>LibreOffice/7.3.2.2$Windows_X86_64 LibreOffice_project/49f2b1bff42cfccbd8f788c8dc32c1c309559be0</Application>
  <AppVersion>15.0000</AppVersion>
  <Pages>8</Pages>
  <Words>1492</Words>
  <Characters>8033</Characters>
  <CharactersWithSpaces>9427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2023-10-09T15:05:00Z</dcterms:created>
  <dc:creator>MARIA ISABEL MARTINI</dc:creator>
  <dc:description/>
  <dc:language>pt-BR</dc:language>
  <cp:lastModifiedBy>MARIA ISABEL MARTINI</cp:lastModifiedBy>
  <dcterms:modified xsi:type="dcterms:W3CDTF">2023-10-11T11:14:00Z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0x010100886399F21440F54B81A4893F74DA4F94</vt:lpwstr>
  </property>
</Properties>
</file>