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/>
        <w:ind w:right="280" w:hanging="0"/>
        <w:jc w:val="center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drawing>
          <wp:anchor behindDoc="0" distT="0" distB="152400" distL="152400" distR="152400" simplePos="0" locked="0" layoutInCell="0" allowOverlap="1" relativeHeight="2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56500" cy="1115060"/>
            <wp:effectExtent l="0" t="0" r="0" b="0"/>
            <wp:wrapTopAndBottom/>
            <wp:docPr id="1" name="officeArt object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  <w:rFonts w:cs="Arial" w:ascii="Arial" w:hAnsi="Arial"/>
          <w:b/>
          <w:color w:val="000000" w:themeColor="text1"/>
          <w:sz w:val="28"/>
          <w:szCs w:val="28"/>
        </w:rPr>
        <w:t>ANÁLISE ESTATÍSTICA DESCRITIVA DE SILAGENS UTILIZADAS NO NOROESTE GAÚCHO - AMIDO</w:t>
      </w:r>
    </w:p>
    <w:p>
      <w:pPr>
        <w:pStyle w:val="LOnormal"/>
        <w:ind w:right="284" w:hanging="0"/>
        <w:jc w:val="center"/>
        <w:rPr>
          <w:rStyle w:val="Normaltextrun"/>
          <w:rFonts w:ascii="Arial" w:hAnsi="Arial" w:cs="Arial"/>
          <w:b/>
          <w:b/>
          <w:bCs/>
          <w:color w:val="000000" w:themeColor="text1"/>
          <w:sz w:val="28"/>
          <w:szCs w:val="28"/>
        </w:rPr>
      </w:pPr>
      <w:r>
        <w:rPr>
          <w:rFonts w:cs="Arial" w:ascii="Arial" w:hAnsi="Arial"/>
          <w:b/>
          <w:bCs/>
          <w:color w:val="000000" w:themeColor="text1"/>
          <w:sz w:val="28"/>
          <w:szCs w:val="28"/>
        </w:rPr>
      </w:r>
    </w:p>
    <w:p>
      <w:pPr>
        <w:pStyle w:val="LOnormal"/>
        <w:ind w:right="284" w:hanging="0"/>
        <w:jc w:val="center"/>
        <w:rPr>
          <w:rFonts w:ascii="Arial" w:hAnsi="Arial" w:cs="Arial"/>
          <w:color w:val="000000" w:themeColor="text1"/>
          <w:sz w:val="20"/>
          <w:szCs w:val="20"/>
          <w:lang w:val="pt-BR"/>
        </w:rPr>
      </w:pPr>
      <w:r>
        <w:rPr/>
      </w:r>
    </w:p>
    <w:p>
      <w:pPr>
        <w:pStyle w:val="LOnormal"/>
        <w:ind w:right="284" w:hanging="0"/>
        <w:rPr>
          <w:rFonts w:ascii="Arial" w:hAnsi="Arial" w:eastAsia="Arial" w:cs="Arial"/>
          <w:color w:val="000000"/>
          <w:sz w:val="20"/>
          <w:szCs w:val="20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0"/>
          <w:szCs w:val="20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 xml:space="preserve">: </w:t>
      </w:r>
    </w:p>
    <w:p>
      <w:pPr>
        <w:pStyle w:val="Normal"/>
        <w:ind w:firstLine="7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</w:rPr>
        <w:t>A base do conhecimento da digestibilidade ruminal do amido possibilita uma previsão da produção de proteína ruminal tal qual a quantidade e tipos de ácidos graxos voláteis disponíveis para absorção, fornecerá dados pertinentes para formulação e balanceamento de dietas, assim como a compreensão do real valor nutricional de silagem utilizadas no Noroeste Riograndense. Objetivou-se descrever a digestibilidade do amido de silagens utilizadas no noroeste do Rio Grande do Sul. As silagens utilizadas na região Noroeste do Rio Grande do Sul com 37,7% de matéria seca apresentam taxa de degradação média de 19,9%/h, a digestão instantânea é de 29,1% em 16 horas 90,4% da silagem é digerida.</w:t>
      </w:r>
    </w:p>
    <w:p>
      <w:pPr>
        <w:pStyle w:val="LOnormal"/>
        <w:tabs>
          <w:tab w:val="clear" w:pos="720"/>
          <w:tab w:val="left" w:pos="2826" w:leader="none"/>
        </w:tabs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</w:t>
      </w: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>: Degradação, Digestibilidade, Valor Nutricional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>Introdução:</w:t>
      </w:r>
    </w:p>
    <w:p>
      <w:pPr>
        <w:pStyle w:val="LOnormal"/>
        <w:jc w:val="both"/>
        <w:rPr>
          <w:rFonts w:ascii="Arial" w:hAnsi="Arial" w:cs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ab/>
      </w:r>
      <w:r>
        <w:rPr>
          <w:rFonts w:cs="Arial" w:ascii="Arial" w:hAnsi="Arial"/>
          <w:bCs/>
          <w:color w:val="000000"/>
          <w:sz w:val="22"/>
          <w:szCs w:val="22"/>
          <w:u w:val="none" w:color="000000"/>
          <w:lang w:val="pt-BR"/>
        </w:rPr>
        <w:t>A silagem de milho (</w:t>
      </w:r>
      <w:r>
        <w:rPr>
          <w:rFonts w:cs="Arial" w:ascii="Arial" w:hAnsi="Arial"/>
          <w:bCs/>
          <w:i/>
          <w:color w:val="000000"/>
          <w:sz w:val="22"/>
          <w:szCs w:val="22"/>
          <w:u w:val="none" w:color="000000"/>
          <w:lang w:val="pt-BR"/>
        </w:rPr>
        <w:t>Zea mays L.</w:t>
      </w:r>
      <w:r>
        <w:rPr>
          <w:rFonts w:cs="Arial"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) é uma das forragens conservadas mais utilizadas no Rio Grande do Sul, constituindo a base alimentar da produção de ruminantes do estado. </w:t>
      </w:r>
    </w:p>
    <w:p>
      <w:pPr>
        <w:pStyle w:val="LOnormal"/>
        <w:ind w:firstLine="720"/>
        <w:jc w:val="both"/>
        <w:rPr>
          <w:rFonts w:ascii="Arial" w:hAnsi="Arial" w:cs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Cs/>
          <w:color w:val="000000"/>
          <w:sz w:val="22"/>
          <w:szCs w:val="22"/>
          <w:u w:val="none" w:color="000000"/>
          <w:lang w:val="pt-BR"/>
        </w:rPr>
        <w:t>Considerando tal importância, faz-se necessário o conhecimento da base a ser utilizada na alimentação dos animais é de suma importância para alavancar a cadeia de produção visando o aumento da viabilidade das cadeias produtivas e o emprego de uma produção sustentável, para que cada vez mais seja possível entregar produtos de qualidade e em quantidade a população.</w:t>
      </w:r>
    </w:p>
    <w:p>
      <w:pPr>
        <w:pStyle w:val="Normal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cs="Arial" w:ascii="Arial" w:hAnsi="Arial"/>
          <w:color w:val="000000"/>
          <w:sz w:val="22"/>
          <w:szCs w:val="22"/>
          <w:u w:val="none" w:color="000000"/>
        </w:rPr>
        <w:tab/>
      </w:r>
      <w:r>
        <w:rPr>
          <w:rFonts w:cs="Arial" w:ascii="Arial" w:hAnsi="Arial"/>
          <w:color w:val="000000"/>
          <w:sz w:val="22"/>
          <w:szCs w:val="22"/>
        </w:rPr>
        <w:t xml:space="preserve">O amido presente nas silagens de milho, oriundo, principalmente do grão de milho, apesar de ser considerado altamente digestível, é envolto em uma matriz proteica hidrofóbica, o que apresenta um dos principais obstáculos para digestão ruminal </w:t>
      </w:r>
      <w:sdt>
        <w:sdtPr>
          <w:id w:val="1591702621"/>
        </w:sdtPr>
        <w:sdtContent>
          <w:r>
            <w:rPr>
              <w:rFonts w:cs="Arial" w:ascii="Arial" w:hAnsi="Arial"/>
              <w:color w:val="000000"/>
              <w:sz w:val="22"/>
              <w:szCs w:val="22"/>
            </w:rPr>
            <w:t>(CUEVA et al., 2023; MCALLISTER et al., 1993; PATTON; PATTON; BOUCHER, 2012)</w:t>
          </w:r>
        </w:sdtContent>
      </w:sdt>
      <w:r>
        <w:rPr>
          <w:rFonts w:cs="Arial" w:ascii="Arial" w:hAnsi="Arial"/>
          <w:color w:val="000000"/>
          <w:sz w:val="22"/>
          <w:szCs w:val="22"/>
        </w:rPr>
        <w:t>. O conhecimento da composição bromatológica das silagens de milho, tal como a digestibilidade de seus nutrientes fornecerá dados pertinentes para formulação e balanceamento de dietas</w:t>
      </w:r>
      <w:r>
        <w:rPr>
          <w:rFonts w:cs="Arial" w:ascii="Arial" w:hAnsi="Arial"/>
          <w:color w:val="000000"/>
          <w:sz w:val="22"/>
          <w:szCs w:val="22"/>
        </w:rPr>
        <w:t xml:space="preserve">, assim como a compreensão do real valor nutricional de silagem utilizadas no Noroeste Riograndense </w:t>
      </w:r>
      <w:sdt>
        <w:sdtPr>
          <w:id w:val="306697707"/>
        </w:sdtPr>
        <w:sdtContent>
          <w:r>
            <w:rPr>
              <w:rFonts w:cs="Arial" w:ascii="Arial" w:hAnsi="Arial"/>
              <w:color w:val="000000"/>
              <w:sz w:val="22"/>
              <w:szCs w:val="22"/>
            </w:rPr>
            <w:t>(KHAN et al., 2015; ROSSI JÚNIOR et al., 1997)</w:t>
          </w:r>
        </w:sdtContent>
      </w:sdt>
      <w:r>
        <w:rPr>
          <w:rFonts w:cs="Arial" w:ascii="Arial" w:hAnsi="Arial"/>
          <w:color w:val="000000"/>
          <w:sz w:val="22"/>
          <w:szCs w:val="22"/>
        </w:rPr>
        <w:t>.</w:t>
      </w:r>
      <w:r>
        <w:rPr>
          <w:rFonts w:cs="Arial" w:ascii="Arial" w:hAnsi="Arial"/>
          <w:color w:val="000000"/>
          <w:sz w:val="22"/>
          <w:szCs w:val="22"/>
        </w:rPr>
        <w:t xml:space="preserve"> Para mais, a base do conhecimento da digestibilidade ruminal do amido possibilita uma previsão da produção de proteína ruminal tal qual a quantidade e tipos de ácidos graxos voláteis disponíveis para absorção </w:t>
      </w:r>
      <w:r>
        <w:rPr>
          <w:rFonts w:cs="Arial" w:ascii="Arial" w:hAnsi="Arial"/>
          <w:color w:val="000000" w:themeColor="text1"/>
          <w:sz w:val="22"/>
          <w:szCs w:val="22"/>
        </w:rPr>
        <w:t>(STERN; HOOVER, 1979)</w:t>
      </w:r>
      <w:r>
        <w:rPr>
          <w:rFonts w:cs="Arial" w:ascii="Arial" w:hAnsi="Arial"/>
          <w:color w:val="000000"/>
          <w:sz w:val="22"/>
          <w:szCs w:val="22"/>
        </w:rPr>
        <w:t>.</w:t>
      </w:r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rFonts w:cs="Arial" w:ascii="Arial" w:hAnsi="Arial"/>
          <w:bCs/>
          <w:color w:val="000000"/>
          <w:sz w:val="22"/>
          <w:szCs w:val="22"/>
          <w:u w:val="none" w:color="000000"/>
          <w:lang w:val="pt-BR"/>
        </w:rPr>
        <w:tab/>
      </w:r>
      <w:r>
        <w:rPr>
          <w:rFonts w:cs="Arial" w:ascii="Arial" w:hAnsi="Arial"/>
          <w:color w:val="000000"/>
          <w:sz w:val="22"/>
          <w:szCs w:val="22"/>
          <w:lang w:val="pt-BR"/>
        </w:rPr>
        <w:t>Objetivou-se descrever a digestibilidade do amido de silagens utilizadas no noroeste do Rio Grande do Sul.</w:t>
      </w:r>
    </w:p>
    <w:p>
      <w:pPr>
        <w:pStyle w:val="LOnormal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  <w:lang w:val="pt-BR"/>
        </w:rPr>
      </w:r>
      <w:bookmarkStart w:id="0" w:name="_headingh.30j0zll"/>
      <w:bookmarkStart w:id="1" w:name="_headingh.30j0zll"/>
      <w:bookmarkEnd w:id="1"/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>Material e métodos:</w:t>
      </w:r>
      <w:bookmarkStart w:id="2" w:name="_Hlk146387489"/>
      <w:bookmarkEnd w:id="2"/>
    </w:p>
    <w:p>
      <w:pPr>
        <w:pStyle w:val="LOnormal"/>
        <w:spacing w:lineRule="auto" w:line="259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/>
          <w:sz w:val="22"/>
          <w:szCs w:val="22"/>
          <w:u w:val="none" w:color="000000"/>
          <w:lang w:val="pt-BR"/>
        </w:rPr>
        <w:tab/>
      </w:r>
      <w:r>
        <w:rPr>
          <w:rFonts w:cs="Arial" w:ascii="Arial" w:hAnsi="Arial"/>
          <w:color w:val="000000"/>
          <w:sz w:val="22"/>
          <w:szCs w:val="22"/>
          <w:lang w:val="pt-BR"/>
        </w:rPr>
        <w:t xml:space="preserve">As 44 amostras de silagens de milho de planta inteira analisadas foram coletadas de silos trincheira, silo superfície e silo bola, pela equipe técnica da empresa Agrotech Soluções Agrícolas, cujas silagens estavam sendo utilizadas para alimentação de bovinos de leite e corte. Os municípios que fazem parte das amostras são: Almirante Tamandaré, Boa Vista das Missões, Cerro Grande, Chapada, Dois Irmãos das Missões, Erval Seco e Palmeira das Missões. As amostras foram analisadas por laboratório terceirizado através do método NIR. Os resultados das análises foram tabulados em planilha Excel® para facilitar a realização da análise estatística, que foi realizada por meio do software MiniTab®. Para as análises de digestibilidade do amido foram utilizados os teores de matéria seca, </w:t>
      </w:r>
      <w:r>
        <w:rPr>
          <w:rFonts w:cs="Arial" w:ascii="Arial" w:hAnsi="Arial"/>
          <w:color w:val="000000" w:themeColor="text1"/>
          <w:sz w:val="22"/>
          <w:szCs w:val="22"/>
          <w:lang w:val="pt-BR"/>
        </w:rPr>
        <w:t>taxa de degradação do amido e digestibilidade do amido em 0, 3, 7 e 16 horas.</w:t>
      </w:r>
    </w:p>
    <w:p>
      <w:pPr>
        <w:pStyle w:val="LOnormal"/>
        <w:spacing w:lineRule="auto" w:line="259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>Resultados e discussões:</w:t>
      </w:r>
    </w:p>
    <w:p>
      <w:pPr>
        <w:pStyle w:val="Normal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</w:rPr>
        <w:tab/>
      </w: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A digestibilidade do amido é influenciada pelas propriedades dos grânulos de amido presentes nos grãos, do momento da colheita </w:t>
      </w:r>
      <w:sdt>
        <w:sdtPr>
          <w:id w:val="1901224788"/>
        </w:sdtPr>
        <w:sdtContent>
          <w:r>
            <w:rPr>
              <w:rFonts w:eastAsia="Arial" w:cs="Arial" w:ascii="Arial" w:hAnsi="Arial"/>
              <w:color w:val="000000"/>
              <w:sz w:val="22"/>
              <w:szCs w:val="22"/>
            </w:rPr>
            <w:t>(NASEM, 2021)</w:t>
          </w:r>
        </w:sdtContent>
      </w:sdt>
      <w:r>
        <w:rPr>
          <w:rFonts w:eastAsia="Arial" w:cs="Arial" w:ascii="Arial" w:hAnsi="Arial"/>
          <w:sz w:val="22"/>
          <w:szCs w:val="22"/>
        </w:rPr>
        <w:t xml:space="preserve">, pelo processamento físico do grão de milho </w:t>
      </w:r>
      <w:sdt>
        <w:sdtPr>
          <w:id w:val="1210610117"/>
        </w:sdtPr>
        <w:sdtContent>
          <w:r>
            <w:rPr>
              <w:rFonts w:eastAsia="Arial" w:cs="Arial" w:ascii="Arial" w:hAnsi="Arial"/>
              <w:color w:val="000000"/>
              <w:sz w:val="22"/>
              <w:szCs w:val="22"/>
            </w:rPr>
            <w:t>(WEISS; FIRKINS, 2007)</w:t>
          </w:r>
        </w:sdtContent>
      </w:sdt>
      <w:r>
        <w:rPr>
          <w:rFonts w:eastAsia="Arial" w:cs="Arial" w:ascii="Arial" w:hAnsi="Arial"/>
          <w:sz w:val="22"/>
          <w:szCs w:val="22"/>
        </w:rPr>
        <w:t xml:space="preserve">, pela fonte e nível de ingestão do amido </w:t>
      </w:r>
      <w:sdt>
        <w:sdtPr>
          <w:id w:val="762778572"/>
        </w:sdtPr>
        <w:sdtContent>
          <w:r>
            <w:rPr>
              <w:rFonts w:eastAsia="Arial" w:cs="Arial" w:ascii="Arial" w:hAnsi="Arial"/>
              <w:color w:val="000000"/>
              <w:sz w:val="22"/>
              <w:szCs w:val="22"/>
            </w:rPr>
            <w:t>(MOHARRERY; LARSEN; WEISBJERG, 2014)</w:t>
          </w:r>
        </w:sdtContent>
      </w:sdt>
      <w:r>
        <w:rPr>
          <w:rFonts w:cs="Arial" w:ascii="Arial" w:hAnsi="Arial"/>
          <w:color w:val="000000" w:themeColor="text1"/>
        </w:rPr>
        <w:t xml:space="preserve">, tempo de ensilagem do grão </w:t>
      </w:r>
      <w:sdt>
        <w:sdtPr>
          <w:id w:val="993282010"/>
        </w:sdtPr>
        <w:sdtContent>
          <w:r>
            <w:rPr>
              <w:rFonts w:cs="Arial" w:ascii="Arial" w:hAnsi="Arial"/>
              <w:color w:val="000000"/>
            </w:rPr>
            <w:t>(SAYLOR et al., 2020)</w:t>
          </w:r>
        </w:sdtContent>
      </w:sdt>
      <w:r>
        <w:rPr>
          <w:rFonts w:cs="Arial" w:ascii="Arial" w:hAnsi="Arial"/>
        </w:rPr>
        <w:t xml:space="preserve"> </w:t>
      </w: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e pelo processo fermentativo de ensilagem dos grãos triturados </w:t>
      </w:r>
      <w:sdt>
        <w:sdtPr>
          <w:id w:val="649188185"/>
        </w:sdtPr>
        <w:sdtContent>
          <w:r>
            <w:rPr>
              <w:rFonts w:eastAsia="Arial" w:cs="Arial" w:ascii="Arial" w:hAnsi="Arial"/>
              <w:color w:val="000000"/>
              <w:sz w:val="22"/>
              <w:szCs w:val="22"/>
            </w:rPr>
            <w:t>(SAYLOR et al., 2021)</w:t>
          </w:r>
        </w:sdtContent>
      </w:sdt>
      <w:r>
        <w:rPr>
          <w:rFonts w:eastAsia="Arial" w:cs="Arial" w:ascii="Arial" w:hAnsi="Arial"/>
          <w:color w:val="000000" w:themeColor="text1"/>
          <w:sz w:val="22"/>
          <w:szCs w:val="22"/>
        </w:rPr>
        <w:t>.</w:t>
      </w: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 </w:t>
      </w:r>
      <w:r>
        <w:rPr>
          <w:rFonts w:cs="Arial" w:ascii="Arial" w:hAnsi="Arial"/>
          <w:color w:val="000000"/>
          <w:sz w:val="22"/>
          <w:szCs w:val="22"/>
        </w:rPr>
        <w:t>A digestão do amido das amostras de silagens, é apresentada na tabela 1.</w:t>
      </w:r>
    </w:p>
    <w:p>
      <w:pPr>
        <w:pStyle w:val="LOnormal"/>
        <w:jc w:val="both"/>
        <w:rPr>
          <w:rFonts w:ascii="Arial" w:hAnsi="Arial" w:cs="Arial"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color w:val="000000" w:themeColor="text1"/>
          <w:sz w:val="22"/>
          <w:szCs w:val="22"/>
          <w:lang w:val="pt-BR"/>
        </w:rPr>
      </w:r>
    </w:p>
    <w:p>
      <w:pPr>
        <w:pStyle w:val="LOnormal"/>
        <w:jc w:val="both"/>
        <w:rPr>
          <w:rFonts w:ascii="Arial" w:hAnsi="Arial" w:cs="Arial"/>
          <w:b/>
          <w:b/>
          <w:bCs/>
          <w:color w:val="000000" w:themeColor="text1"/>
          <w:sz w:val="20"/>
          <w:szCs w:val="22"/>
          <w:lang w:val="pt-BR"/>
        </w:rPr>
      </w:pPr>
      <w:r>
        <w:rPr>
          <w:rFonts w:cs="Arial" w:ascii="Arial" w:hAnsi="Arial"/>
          <w:b/>
          <w:bCs/>
          <w:color w:val="000000" w:themeColor="text1"/>
          <w:sz w:val="20"/>
          <w:szCs w:val="22"/>
          <w:lang w:val="pt-BR"/>
        </w:rPr>
        <w:t xml:space="preserve">Tabela 1: Digestibilidade </w:t>
      </w:r>
      <w:r>
        <w:rPr>
          <w:rFonts w:cs="Arial" w:ascii="Arial" w:hAnsi="Arial"/>
          <w:b/>
          <w:bCs/>
          <w:i/>
          <w:iCs/>
          <w:color w:val="000000" w:themeColor="text1"/>
          <w:sz w:val="20"/>
          <w:szCs w:val="22"/>
          <w:lang w:val="pt-BR"/>
        </w:rPr>
        <w:t>in situ</w:t>
      </w:r>
      <w:r>
        <w:rPr>
          <w:rFonts w:cs="Arial" w:ascii="Arial" w:hAnsi="Arial"/>
          <w:b/>
          <w:bCs/>
          <w:color w:val="000000" w:themeColor="text1"/>
          <w:sz w:val="20"/>
          <w:szCs w:val="22"/>
          <w:lang w:val="pt-BR"/>
        </w:rPr>
        <w:t xml:space="preserve"> do amido em 0, 3, 7 e 16 horas de incubação.</w:t>
      </w:r>
    </w:p>
    <w:tbl>
      <w:tblPr>
        <w:tblStyle w:val="TabelaSimples2"/>
        <w:tblW w:w="917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1" w:val="06a0"/>
      </w:tblPr>
      <w:tblGrid>
        <w:gridCol w:w="2910"/>
        <w:gridCol w:w="1140"/>
        <w:gridCol w:w="1124"/>
        <w:gridCol w:w="945"/>
        <w:gridCol w:w="1158"/>
        <w:gridCol w:w="1900"/>
      </w:tblGrid>
      <w:tr>
        <w:trPr>
          <w:trHeight w:val="300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2910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 </w:t>
            </w: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VARIÁVEL</w:t>
            </w:r>
          </w:p>
        </w:tc>
        <w:tc>
          <w:tcPr>
            <w:tcW w:w="1140" w:type="dxa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b w:val="false"/>
                <w:b w:val="false"/>
                <w:bCs w:val="false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N</w:t>
            </w:r>
          </w:p>
        </w:tc>
        <w:tc>
          <w:tcPr>
            <w:tcW w:w="1124" w:type="dxa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b w:val="false"/>
                <w:b w:val="false"/>
                <w:bCs w:val="false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MÍNIMO</w:t>
            </w:r>
          </w:p>
        </w:tc>
        <w:tc>
          <w:tcPr>
            <w:tcW w:w="945" w:type="dxa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b w:val="false"/>
                <w:b w:val="false"/>
                <w:bCs w:val="false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MÉDIA</w:t>
            </w:r>
          </w:p>
        </w:tc>
        <w:tc>
          <w:tcPr>
            <w:tcW w:w="1158" w:type="dxa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b w:val="false"/>
                <w:b w:val="false"/>
                <w:bCs w:val="false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MÁXIMO</w:t>
            </w:r>
          </w:p>
        </w:tc>
        <w:tc>
          <w:tcPr>
            <w:tcW w:w="1900" w:type="dxa"/>
            <w:tcBorders/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b w:val="false"/>
                <w:b w:val="false"/>
                <w:bCs w:val="false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ERRO PADRÃO MÉDIO</w:t>
            </w:r>
          </w:p>
        </w:tc>
      </w:tr>
      <w:tr>
        <w:trPr>
          <w:trHeight w:val="300" w:hRule="atLeast"/>
        </w:trPr>
        <w:tc>
          <w:tcPr>
            <w:tcW w:w="291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MATÉRIA SECA</w:t>
            </w:r>
          </w:p>
        </w:tc>
        <w:tc>
          <w:tcPr>
            <w:tcW w:w="114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44</w:t>
            </w:r>
          </w:p>
        </w:tc>
        <w:tc>
          <w:tcPr>
            <w:tcW w:w="11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22,75</w:t>
            </w:r>
          </w:p>
        </w:tc>
        <w:tc>
          <w:tcPr>
            <w:tcW w:w="945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37,75</w:t>
            </w:r>
          </w:p>
        </w:tc>
        <w:tc>
          <w:tcPr>
            <w:tcW w:w="1158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49,64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0,93</w:t>
            </w:r>
          </w:p>
        </w:tc>
      </w:tr>
      <w:tr>
        <w:trPr>
          <w:trHeight w:val="300" w:hRule="atLeast"/>
        </w:trPr>
        <w:tc>
          <w:tcPr>
            <w:tcW w:w="291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0 horas</w:t>
            </w:r>
          </w:p>
        </w:tc>
        <w:tc>
          <w:tcPr>
            <w:tcW w:w="114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43</w:t>
            </w:r>
          </w:p>
        </w:tc>
        <w:tc>
          <w:tcPr>
            <w:tcW w:w="11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0,89</w:t>
            </w:r>
          </w:p>
        </w:tc>
        <w:tc>
          <w:tcPr>
            <w:tcW w:w="945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29,13</w:t>
            </w:r>
          </w:p>
        </w:tc>
        <w:tc>
          <w:tcPr>
            <w:tcW w:w="1158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62,42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2,10</w:t>
            </w:r>
          </w:p>
        </w:tc>
      </w:tr>
      <w:tr>
        <w:trPr>
          <w:trHeight w:val="300" w:hRule="atLeast"/>
        </w:trPr>
        <w:tc>
          <w:tcPr>
            <w:tcW w:w="291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3 horas</w:t>
            </w:r>
          </w:p>
        </w:tc>
        <w:tc>
          <w:tcPr>
            <w:tcW w:w="114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43</w:t>
            </w:r>
          </w:p>
        </w:tc>
        <w:tc>
          <w:tcPr>
            <w:tcW w:w="11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40,21</w:t>
            </w:r>
          </w:p>
        </w:tc>
        <w:tc>
          <w:tcPr>
            <w:tcW w:w="945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64,62</w:t>
            </w:r>
          </w:p>
        </w:tc>
        <w:tc>
          <w:tcPr>
            <w:tcW w:w="1158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94,82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1,59</w:t>
            </w:r>
          </w:p>
        </w:tc>
      </w:tr>
      <w:tr>
        <w:trPr>
          <w:trHeight w:val="300" w:hRule="atLeast"/>
        </w:trPr>
        <w:tc>
          <w:tcPr>
            <w:tcW w:w="291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7 horas</w:t>
            </w:r>
          </w:p>
        </w:tc>
        <w:tc>
          <w:tcPr>
            <w:tcW w:w="114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43</w:t>
            </w:r>
          </w:p>
        </w:tc>
        <w:tc>
          <w:tcPr>
            <w:tcW w:w="11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57,16</w:t>
            </w:r>
          </w:p>
        </w:tc>
        <w:tc>
          <w:tcPr>
            <w:tcW w:w="945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74,78</w:t>
            </w:r>
          </w:p>
        </w:tc>
        <w:tc>
          <w:tcPr>
            <w:tcW w:w="1158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95,52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1,25</w:t>
            </w:r>
          </w:p>
        </w:tc>
      </w:tr>
      <w:tr>
        <w:trPr>
          <w:trHeight w:val="300" w:hRule="atLeast"/>
        </w:trPr>
        <w:tc>
          <w:tcPr>
            <w:tcW w:w="291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16 horas</w:t>
            </w:r>
          </w:p>
        </w:tc>
        <w:tc>
          <w:tcPr>
            <w:tcW w:w="114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43</w:t>
            </w:r>
          </w:p>
        </w:tc>
        <w:tc>
          <w:tcPr>
            <w:tcW w:w="1124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81,81</w:t>
            </w:r>
          </w:p>
        </w:tc>
        <w:tc>
          <w:tcPr>
            <w:tcW w:w="945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90,41</w:t>
            </w:r>
          </w:p>
        </w:tc>
        <w:tc>
          <w:tcPr>
            <w:tcW w:w="1158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99,00</w:t>
            </w:r>
          </w:p>
        </w:tc>
        <w:tc>
          <w:tcPr>
            <w:tcW w:w="1900" w:type="dxa"/>
            <w:tcBorders>
              <w:top w:val="nil"/>
              <w:bottom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0,79</w:t>
            </w:r>
          </w:p>
        </w:tc>
      </w:tr>
      <w:tr>
        <w:trPr>
          <w:trHeight w:val="300" w:hRule="atLeast"/>
        </w:trPr>
        <w:tc>
          <w:tcPr>
            <w:tcW w:w="2910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kern w:val="0"/>
                <w:sz w:val="22"/>
                <w:szCs w:val="22"/>
                <w:lang w:val="pt-BR" w:eastAsia="pt-BR" w:bidi="ar-SA"/>
              </w:rPr>
              <w:t>Kd do Amido (%/h)</w:t>
            </w:r>
          </w:p>
        </w:tc>
        <w:tc>
          <w:tcPr>
            <w:tcW w:w="114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43</w:t>
            </w:r>
          </w:p>
        </w:tc>
        <w:tc>
          <w:tcPr>
            <w:tcW w:w="1124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11,54</w:t>
            </w:r>
          </w:p>
        </w:tc>
        <w:tc>
          <w:tcPr>
            <w:tcW w:w="945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19,91</w:t>
            </w:r>
          </w:p>
        </w:tc>
        <w:tc>
          <w:tcPr>
            <w:tcW w:w="1158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39,84</w:t>
            </w:r>
          </w:p>
        </w:tc>
        <w:tc>
          <w:tcPr>
            <w:tcW w:w="1900" w:type="dxa"/>
            <w:tcBorders>
              <w:top w:val="nil"/>
            </w:tcBorders>
            <w:vAlign w:val="center"/>
          </w:tcPr>
          <w:p>
            <w:pPr>
              <w:pStyle w:val="Normal"/>
              <w:widowControl/>
              <w:pBdr/>
              <w:spacing w:before="0" w:after="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color w:val="000000"/>
                <w:sz w:val="22"/>
                <w:szCs w:val="22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kern w:val="0"/>
                <w:sz w:val="22"/>
                <w:szCs w:val="22"/>
                <w:lang w:val="pt-BR" w:eastAsia="pt-BR" w:bidi="ar-SA"/>
              </w:rPr>
              <w:t>0,81</w:t>
            </w:r>
            <w:bookmarkStart w:id="3" w:name="_GoBack"/>
            <w:bookmarkEnd w:id="3"/>
          </w:p>
        </w:tc>
      </w:tr>
    </w:tbl>
    <w:p>
      <w:pPr>
        <w:pStyle w:val="Normal"/>
        <w:rPr>
          <w:rFonts w:ascii="Arial" w:hAnsi="Arial" w:cs="Arial"/>
          <w:sz w:val="20"/>
          <w:szCs w:val="20"/>
          <w:shd w:fill="FFFFFF" w:val="clear"/>
        </w:rPr>
      </w:pPr>
      <w:r>
        <w:rPr>
          <w:rFonts w:cs="Arial" w:ascii="Arial" w:hAnsi="Arial"/>
          <w:sz w:val="20"/>
          <w:szCs w:val="20"/>
          <w:shd w:fill="FFFFFF" w:val="clear"/>
        </w:rPr>
        <w:t>*Kd do amido= taxa de degradação do amido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eastAsia="Arial" w:cs="Arial" w:ascii="Arial" w:hAnsi="Arial"/>
          <w:color w:val="000000" w:themeColor="text1"/>
          <w:sz w:val="22"/>
          <w:szCs w:val="22"/>
        </w:rPr>
        <w:t xml:space="preserve">A digestibilidade média do amido em 7h foi 4,7% maior que a digestibilidade publicada por </w:t>
      </w:r>
      <w:sdt>
        <w:sdtPr>
          <w:id w:val="593014217"/>
        </w:sdtPr>
        <w:sdtContent>
          <w:r>
            <w:rPr>
              <w:rFonts w:eastAsia="Arial" w:cs="Arial" w:ascii="Arial" w:hAnsi="Arial"/>
              <w:color w:val="000000"/>
              <w:sz w:val="22"/>
              <w:szCs w:val="22"/>
            </w:rPr>
            <w:t>NOLAN, 2022</w:t>
          </w:r>
        </w:sdtContent>
      </w:sdt>
      <w:r>
        <w:rPr>
          <w:rFonts w:cs="Arial" w:ascii="Arial" w:hAnsi="Arial"/>
          <w:sz w:val="22"/>
          <w:szCs w:val="22"/>
        </w:rPr>
        <w:t xml:space="preserve"> e 1,1% maior que a digestibilidade descrita por </w:t>
      </w:r>
      <w:sdt>
        <w:sdtPr>
          <w:id w:val="1037614119"/>
        </w:sdtPr>
        <w:sdtContent>
          <w:r>
            <w:rPr>
              <w:rFonts w:cs="Arial" w:ascii="Arial" w:hAnsi="Arial"/>
              <w:color w:val="000000"/>
              <w:sz w:val="22"/>
              <w:szCs w:val="22"/>
            </w:rPr>
            <w:t>HALLAD, 2010</w:t>
          </w:r>
        </w:sdtContent>
      </w:sdt>
      <w:r>
        <w:rPr>
          <w:rFonts w:cs="Arial" w:ascii="Arial" w:hAnsi="Arial"/>
          <w:color w:val="000000" w:themeColor="text1"/>
          <w:sz w:val="22"/>
          <w:szCs w:val="22"/>
        </w:rPr>
        <w:t>.</w:t>
      </w:r>
      <w:r>
        <w:rPr>
          <w:rFonts w:cs="Arial" w:ascii="Arial" w:hAnsi="Arial"/>
          <w:color w:val="000000" w:themeColor="text1"/>
          <w:sz w:val="22"/>
          <w:szCs w:val="22"/>
        </w:rPr>
        <w:t xml:space="preserve"> Ao compararmos silagens produzidas por </w:t>
      </w:r>
      <w:sdt>
        <w:sdtPr>
          <w:id w:val="902749053"/>
        </w:sdtPr>
        <w:sdtContent>
          <w:r>
            <w:rPr>
              <w:rFonts w:cs="Arial" w:ascii="Arial" w:hAnsi="Arial"/>
              <w:color w:val="000000"/>
              <w:sz w:val="22"/>
              <w:szCs w:val="22"/>
            </w:rPr>
            <w:t>FIRKINS, 2019</w:t>
          </w:r>
        </w:sdtContent>
      </w:sdt>
      <w:r>
        <w:rPr>
          <w:rFonts w:cs="Arial" w:ascii="Arial" w:hAnsi="Arial"/>
          <w:color w:val="000000" w:themeColor="text1"/>
          <w:sz w:val="22"/>
          <w:szCs w:val="22"/>
        </w:rPr>
        <w:t xml:space="preserve"> </w:t>
      </w:r>
      <w:r>
        <w:rPr>
          <w:rFonts w:cs="Arial" w:ascii="Arial" w:hAnsi="Arial"/>
          <w:color w:val="000000" w:themeColor="text1"/>
          <w:sz w:val="22"/>
          <w:szCs w:val="22"/>
        </w:rPr>
        <w:t>de milho de nervura central marrom pode-se observar que o valor da digestibilidade em 3 horas foi 77,9%, valor maior do que o encontrado em nossas amostras, que foi de 64,62%.</w:t>
      </w:r>
    </w:p>
    <w:p>
      <w:pPr>
        <w:pStyle w:val="Normal"/>
        <w:ind w:firstLine="720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cs="Arial" w:ascii="Arial" w:hAnsi="Arial"/>
          <w:color w:val="000000" w:themeColor="text1"/>
          <w:sz w:val="22"/>
          <w:szCs w:val="22"/>
        </w:rPr>
      </w:r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lang w:val="pt-BR"/>
        </w:rPr>
        <w:t>Conclusão</w:t>
      </w:r>
      <w:r>
        <w:rPr>
          <w:rFonts w:cs="Arial" w:ascii="Arial" w:hAnsi="Arial"/>
          <w:color w:val="000000"/>
          <w:sz w:val="22"/>
          <w:szCs w:val="22"/>
          <w:lang w:val="pt-BR"/>
        </w:rPr>
        <w:t xml:space="preserve">: </w:t>
      </w:r>
    </w:p>
    <w:p>
      <w:pPr>
        <w:pStyle w:val="LOnormal"/>
        <w:ind w:firstLine="720"/>
        <w:jc w:val="both"/>
        <w:rPr>
          <w:rFonts w:ascii="Arial" w:hAnsi="Arial" w:cs="Arial"/>
          <w:color w:val="000000"/>
          <w:sz w:val="22"/>
          <w:szCs w:val="22"/>
          <w:lang w:val="pt-BR"/>
        </w:rPr>
      </w:pPr>
      <w:r>
        <w:rPr>
          <w:rFonts w:cs="Arial" w:ascii="Arial" w:hAnsi="Arial"/>
          <w:color w:val="000000"/>
          <w:sz w:val="22"/>
          <w:szCs w:val="22"/>
          <w:lang w:val="pt-BR"/>
        </w:rPr>
        <w:drawing>
          <wp:anchor behindDoc="0" distT="152400" distB="152400" distL="152400" distR="152400" simplePos="0" locked="0" layoutInCell="0" allowOverlap="1" relativeHeight="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500" cy="1115060"/>
            <wp:effectExtent l="0" t="0" r="0" b="0"/>
            <wp:wrapTopAndBottom/>
            <wp:docPr id="2" name="Figura1" descr="Cabeçalho SBSS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Cabeçalho SBSS-02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Arial" w:ascii="Arial" w:hAnsi="Arial"/>
          <w:color w:val="000000"/>
          <w:sz w:val="22"/>
          <w:szCs w:val="22"/>
          <w:lang w:val="pt-BR"/>
        </w:rPr>
        <w:t xml:space="preserve">As silagens utilizadas na região Noroeste do Rio Grande do Sul com 37,7% de matéria seca apresentam taxa de degradação média de 19,9%/h, a digestão instantânea é de 29,1% em 16 horas 90,4% da silagem é digerida.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cs="Arial"/>
          <w:color w:val="000000"/>
          <w:u w:val="none" w:color="000000"/>
          <w:lang w:val="pt-BR"/>
        </w:rPr>
      </w:pPr>
      <w:r>
        <w:rPr>
          <w:rFonts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Agradecimento: </w:t>
      </w:r>
      <w:r>
        <w:rPr>
          <w:rFonts w:cs="Arial" w:ascii="Arial" w:hAnsi="Arial"/>
          <w:bCs/>
          <w:color w:val="000000"/>
          <w:sz w:val="22"/>
          <w:szCs w:val="22"/>
          <w:u w:val="none" w:color="000000"/>
          <w:lang w:val="pt-BR"/>
        </w:rPr>
        <w:t>Agrotech Soluções Agrícolas.</w:t>
      </w:r>
    </w:p>
    <w:p>
      <w:pPr>
        <w:pStyle w:val="LOnormal"/>
        <w:tabs>
          <w:tab w:val="clear" w:pos="720"/>
          <w:tab w:val="left" w:pos="7040" w:leader="none"/>
        </w:tabs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ab/>
      </w:r>
    </w:p>
    <w:p>
      <w:pPr>
        <w:pStyle w:val="LOnormal"/>
        <w:jc w:val="both"/>
        <w:rPr>
          <w:rFonts w:ascii="Arial" w:hAnsi="Arial" w:cs="Arial"/>
          <w:b/>
          <w:b/>
          <w:color w:val="000000" w:themeColor="text1"/>
          <w:sz w:val="22"/>
          <w:szCs w:val="22"/>
          <w:lang w:val="pt-BR"/>
        </w:rPr>
      </w:pPr>
      <w:r>
        <w:rPr>
          <w:rFonts w:cs="Arial" w:ascii="Arial" w:hAnsi="Arial"/>
          <w:b/>
          <w:color w:val="000000" w:themeColor="text1"/>
          <w:sz w:val="22"/>
          <w:szCs w:val="22"/>
          <w:lang w:val="pt-BR"/>
        </w:rPr>
        <w:t>Referências:</w:t>
      </w:r>
    </w:p>
    <w:p>
      <w:pPr>
        <w:pStyle w:val="LOnormal"/>
        <w:jc w:val="both"/>
        <w:rPr>
          <w:rFonts w:ascii="Arial" w:hAnsi="Arial" w:cs="Arial"/>
          <w:color w:val="000000"/>
          <w:sz w:val="22"/>
          <w:szCs w:val="22"/>
          <w:u w:val="none" w:color="000000"/>
        </w:rPr>
      </w:pPr>
      <w:r>
        <w:rPr>
          <w:rFonts w:cs="Arial" w:ascii="Arial" w:hAnsi="Arial"/>
          <w:color w:val="000000"/>
          <w:sz w:val="22"/>
          <w:szCs w:val="22"/>
          <w:u w:val="none" w:color="000000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CUEVA, S. F. et al. Effects of ensiling time on corn silage starch ruminal degradability evaluated in situ or in vitro. </w:t>
      </w:r>
      <w:r>
        <w:rPr>
          <w:rFonts w:eastAsia="Times New Roman" w:cs="Arial" w:ascii="Arial" w:hAnsi="Arial"/>
          <w:bCs/>
          <w:sz w:val="22"/>
          <w:szCs w:val="22"/>
        </w:rPr>
        <w:t>Journal of Dairy Science</w:t>
      </w:r>
      <w:r>
        <w:rPr>
          <w:rFonts w:eastAsia="Times New Roman" w:cs="Arial" w:ascii="Arial" w:hAnsi="Arial"/>
          <w:sz w:val="22"/>
          <w:szCs w:val="22"/>
        </w:rPr>
        <w:t xml:space="preserve">, v. 106, n. 6, p. 3961–3974, jun. 2023.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FIRKINS, J. L. Starch Digestibility of Corn – Silage and Grain. </w:t>
      </w:r>
      <w:r>
        <w:rPr>
          <w:rFonts w:eastAsia="Times New Roman" w:cs="Arial" w:ascii="Arial" w:hAnsi="Arial"/>
          <w:bCs/>
          <w:sz w:val="22"/>
          <w:szCs w:val="22"/>
        </w:rPr>
        <w:t>DAIREXNET. Department of Animal Sciences The Ohio State University</w:t>
      </w:r>
      <w:r>
        <w:rPr>
          <w:rFonts w:eastAsia="Times New Roman" w:cs="Arial" w:ascii="Arial" w:hAnsi="Arial"/>
          <w:sz w:val="22"/>
          <w:szCs w:val="22"/>
        </w:rPr>
        <w:t xml:space="preserve">, 2019.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HALLAD, C. Hoard’s Dairyman: Why new corn silage doesn’t feed as well. </w:t>
      </w:r>
      <w:r>
        <w:rPr>
          <w:rFonts w:eastAsia="Times New Roman" w:cs="Arial" w:ascii="Arial" w:hAnsi="Arial"/>
          <w:bCs/>
          <w:sz w:val="22"/>
          <w:szCs w:val="22"/>
        </w:rPr>
        <w:t>Hoard’s Dairyman</w:t>
      </w:r>
      <w:r>
        <w:rPr>
          <w:rFonts w:eastAsia="Times New Roman" w:cs="Arial" w:ascii="Arial" w:hAnsi="Arial"/>
          <w:sz w:val="22"/>
          <w:szCs w:val="22"/>
        </w:rPr>
        <w:t xml:space="preserve">, 2010.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KHAN, N. A. et al. </w:t>
      </w:r>
      <w:r>
        <w:rPr>
          <w:rFonts w:eastAsia="Times New Roman" w:cs="Arial" w:ascii="Arial" w:hAnsi="Arial"/>
          <w:bCs/>
          <w:sz w:val="22"/>
          <w:szCs w:val="22"/>
        </w:rPr>
        <w:t>Nutritive value of maize silage in relation to dairy cow performance and milk quality</w:t>
      </w:r>
      <w:r>
        <w:rPr>
          <w:rFonts w:eastAsia="Times New Roman" w:cs="Arial" w:ascii="Arial" w:hAnsi="Arial"/>
          <w:sz w:val="22"/>
          <w:szCs w:val="22"/>
        </w:rPr>
        <w:t xml:space="preserve">. </w:t>
      </w:r>
      <w:r>
        <w:rPr>
          <w:rFonts w:eastAsia="Times New Roman" w:cs="Arial" w:ascii="Arial" w:hAnsi="Arial"/>
          <w:bCs/>
          <w:sz w:val="22"/>
          <w:szCs w:val="22"/>
        </w:rPr>
        <w:t>Journal of the Science of Food and Agriculture</w:t>
      </w:r>
      <w:r>
        <w:rPr>
          <w:rFonts w:eastAsia="Times New Roman" w:cs="Arial" w:ascii="Arial" w:hAnsi="Arial"/>
          <w:sz w:val="22"/>
          <w:szCs w:val="22"/>
        </w:rPr>
        <w:t xml:space="preserve">John Wiley and Sons Ltd, , 30 jan. 2015.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MCALLISTER, T. A. et al. Effect of the protein matrix on the digestion of cereal grains by ruminal microorganisms. </w:t>
      </w:r>
      <w:r>
        <w:rPr>
          <w:rFonts w:eastAsia="Times New Roman" w:cs="Arial" w:ascii="Arial" w:hAnsi="Arial"/>
          <w:bCs/>
          <w:sz w:val="22"/>
          <w:szCs w:val="22"/>
        </w:rPr>
        <w:t>Journal of Animal Science</w:t>
      </w:r>
      <w:r>
        <w:rPr>
          <w:rFonts w:eastAsia="Times New Roman" w:cs="Arial" w:ascii="Arial" w:hAnsi="Arial"/>
          <w:sz w:val="22"/>
          <w:szCs w:val="22"/>
        </w:rPr>
        <w:t xml:space="preserve">, v. 71, n. 1, p. 205–212, 1 jan. 1993.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MOHARRERY, A.; LARSEN, M.; WEISBJERG, M. R. Starch digestion in the rumen, small intestine, and hind gut of dairy cows – A meta-analysis. </w:t>
      </w:r>
      <w:r>
        <w:rPr>
          <w:rFonts w:eastAsia="Times New Roman" w:cs="Arial" w:ascii="Arial" w:hAnsi="Arial"/>
          <w:bCs/>
          <w:sz w:val="22"/>
          <w:szCs w:val="22"/>
        </w:rPr>
        <w:t>Animal Feed Science and Technology</w:t>
      </w:r>
      <w:r>
        <w:rPr>
          <w:rFonts w:eastAsia="Times New Roman" w:cs="Arial" w:ascii="Arial" w:hAnsi="Arial"/>
          <w:sz w:val="22"/>
          <w:szCs w:val="22"/>
        </w:rPr>
        <w:t xml:space="preserve">, v. 192, p. 1–14, 1 jun. 2014.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NASEM, N. A. OF S. E. AND M. </w:t>
      </w:r>
      <w:r>
        <w:rPr>
          <w:rFonts w:eastAsia="Times New Roman" w:cs="Arial" w:ascii="Arial" w:hAnsi="Arial"/>
          <w:bCs/>
          <w:sz w:val="22"/>
          <w:szCs w:val="22"/>
        </w:rPr>
        <w:t>Nutrient Requirements of Dairy Cattle</w:t>
      </w:r>
      <w:r>
        <w:rPr>
          <w:rFonts w:eastAsia="Times New Roman" w:cs="Arial" w:ascii="Arial" w:hAnsi="Arial"/>
          <w:sz w:val="22"/>
          <w:szCs w:val="22"/>
        </w:rPr>
        <w:t xml:space="preserve">. Washington, D.C.: National Academies Press, 2021.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NOLAN, D. Harvest Considerations for Maximizing Starch in Corn Silage. </w:t>
      </w:r>
      <w:r>
        <w:rPr>
          <w:rFonts w:eastAsia="Times New Roman" w:cs="Arial" w:ascii="Arial" w:hAnsi="Arial"/>
          <w:bCs/>
          <w:sz w:val="22"/>
          <w:szCs w:val="22"/>
        </w:rPr>
        <w:t>Dairy Herd</w:t>
      </w:r>
      <w:r>
        <w:rPr>
          <w:rFonts w:eastAsia="Times New Roman" w:cs="Arial" w:ascii="Arial" w:hAnsi="Arial"/>
          <w:sz w:val="22"/>
          <w:szCs w:val="22"/>
        </w:rPr>
        <w:t xml:space="preserve">, 25 maio 2022.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PATTON, R. A.; PATTON, J. R.; BOUCHER, S. E. Defining ruminal and total-tract starch degradation for adult dairy cattle using in vivo data. </w:t>
      </w:r>
      <w:r>
        <w:rPr>
          <w:rFonts w:eastAsia="Times New Roman" w:cs="Arial" w:ascii="Arial" w:hAnsi="Arial"/>
          <w:bCs/>
          <w:sz w:val="22"/>
          <w:szCs w:val="22"/>
        </w:rPr>
        <w:t>Journal of Dairy Science</w:t>
      </w:r>
      <w:r>
        <w:rPr>
          <w:rFonts w:eastAsia="Times New Roman" w:cs="Arial" w:ascii="Arial" w:hAnsi="Arial"/>
          <w:sz w:val="22"/>
          <w:szCs w:val="22"/>
        </w:rPr>
        <w:t xml:space="preserve">, v. 95, n. 2, p. 765–782, fev. 2012.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ROSSI JÚNIOR, P. et al. Degradabilidade ruminal do amido de silagem de milho, farelo de soja e sorgo grão, em bovinos da raça Nelore. </w:t>
      </w:r>
      <w:r>
        <w:rPr>
          <w:rFonts w:eastAsia="Times New Roman" w:cs="Arial" w:ascii="Arial" w:hAnsi="Arial"/>
          <w:bCs/>
          <w:sz w:val="22"/>
          <w:szCs w:val="22"/>
        </w:rPr>
        <w:t>Scopus</w:t>
      </w:r>
      <w:r>
        <w:rPr>
          <w:rFonts w:eastAsia="Times New Roman" w:cs="Arial" w:ascii="Arial" w:hAnsi="Arial"/>
          <w:sz w:val="22"/>
          <w:szCs w:val="22"/>
        </w:rPr>
        <w:t xml:space="preserve">, p. 416–422, 1 mar. 1997.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SAYLOR, B. A. et al. Influence of microbial inoculation and length of storage on fermentation profile, N fractions, and ruminal in situ starch disappearance of whole-plant corn silage. </w:t>
      </w:r>
      <w:r>
        <w:rPr>
          <w:rFonts w:eastAsia="Times New Roman" w:cs="Arial" w:ascii="Arial" w:hAnsi="Arial"/>
          <w:bCs/>
          <w:sz w:val="22"/>
          <w:szCs w:val="22"/>
        </w:rPr>
        <w:t>Animal Feed Science and Technology</w:t>
      </w:r>
      <w:r>
        <w:rPr>
          <w:rFonts w:eastAsia="Times New Roman" w:cs="Arial" w:ascii="Arial" w:hAnsi="Arial"/>
          <w:sz w:val="22"/>
          <w:szCs w:val="22"/>
        </w:rPr>
        <w:t xml:space="preserve">, v. 267, p. 114557, 1 set. 2020.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SAYLOR, B. A. et al. Effect of kernel breakage on the fermentation profile, nitrogen fractions, and in vitro starch digestibility of whole-plant corn silage and ensiled corn grain. </w:t>
      </w:r>
      <w:r>
        <w:rPr>
          <w:rFonts w:eastAsia="Times New Roman" w:cs="Arial" w:ascii="Arial" w:hAnsi="Arial"/>
          <w:bCs/>
          <w:sz w:val="22"/>
          <w:szCs w:val="22"/>
        </w:rPr>
        <w:t>JDS Communications</w:t>
      </w:r>
      <w:r>
        <w:rPr>
          <w:rFonts w:eastAsia="Times New Roman" w:cs="Arial" w:ascii="Arial" w:hAnsi="Arial"/>
          <w:sz w:val="22"/>
          <w:szCs w:val="22"/>
        </w:rPr>
        <w:t xml:space="preserve">, v. 2, n. 4, p. 191–195, 1 jul. 2021. </w:t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 xml:space="preserve">WEISS, B.; FIRKINS, J. </w:t>
      </w:r>
      <w:r>
        <w:rPr>
          <w:rFonts w:eastAsia="Times New Roman" w:cs="Arial" w:ascii="Arial" w:hAnsi="Arial"/>
          <w:bCs/>
          <w:sz w:val="22"/>
          <w:szCs w:val="22"/>
        </w:rPr>
        <w:t>Silages as Starch Sources for Cows</w:t>
      </w:r>
      <w:r>
        <w:rPr>
          <w:rFonts w:eastAsia="Times New Roman" w:cs="Arial" w:ascii="Arial" w:hAnsi="Arial"/>
          <w:sz w:val="22"/>
          <w:szCs w:val="22"/>
        </w:rPr>
        <w:t xml:space="preserve">. Mid-South Ruminant Nutrition Conference . </w:t>
      </w:r>
      <w:r>
        <w:rPr>
          <w:rFonts w:eastAsia="Times New Roman" w:cs="Arial" w:ascii="Arial" w:hAnsi="Arial"/>
          <w:bCs/>
          <w:sz w:val="22"/>
          <w:szCs w:val="22"/>
        </w:rPr>
        <w:t>Anais</w:t>
      </w:r>
      <w:r>
        <w:rPr>
          <w:rFonts w:eastAsia="Times New Roman" w:cs="Arial" w:ascii="Arial" w:hAnsi="Arial"/>
          <w:sz w:val="22"/>
          <w:szCs w:val="22"/>
        </w:rPr>
        <w:t xml:space="preserve">...Arlington: 2007. </w:t>
      </w:r>
    </w:p>
    <w:p>
      <w:pPr>
        <w:pStyle w:val="Normal"/>
        <w:rPr>
          <w:rFonts w:ascii="Arial" w:hAnsi="Arial" w:eastAsia="Times New Roman" w:cs="Arial"/>
        </w:rPr>
      </w:pPr>
      <w:r>
        <w:rPr>
          <w:rFonts w:eastAsia="Times New Roman" w:cs="Arial" w:ascii="Arial" w:hAnsi="Arial"/>
          <w:sz w:val="22"/>
          <w:szCs w:val="22"/>
        </w:rPr>
        <w:t> </w:t>
      </w:r>
    </w:p>
    <w:sectPr>
      <w:headerReference w:type="default" r:id="rId4"/>
      <w:footerReference w:type="default" r:id="rId5"/>
      <w:type w:val="nextPage"/>
      <w:pgSz w:w="11906" w:h="16838"/>
      <w:pgMar w:left="1418" w:right="1418" w:gutter="0" w:header="0" w:top="1418" w:footer="0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e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db1b1a"/>
    <w:pPr>
      <w:widowControl/>
      <w:pBdr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>
    <w:name w:val="Link da Internet"/>
    <w:rPr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02140"/>
    <w:rPr>
      <w:sz w:val="16"/>
      <w:szCs w:val="16"/>
    </w:rPr>
  </w:style>
  <w:style w:type="character" w:styleId="Normaltextrun" w:customStyle="1">
    <w:name w:val="normaltextrun"/>
    <w:basedOn w:val="DefaultParagraphFont"/>
    <w:qFormat/>
    <w:rsid w:val="005305d0"/>
    <w:rPr/>
  </w:style>
  <w:style w:type="character" w:styleId="Eop" w:customStyle="1">
    <w:name w:val="eop"/>
    <w:basedOn w:val="DefaultParagraphFont"/>
    <w:qFormat/>
    <w:rsid w:val="005305d0"/>
    <w:rPr/>
  </w:style>
  <w:style w:type="character" w:styleId="PlaceholderText">
    <w:name w:val="Placeholder Text"/>
    <w:basedOn w:val="DefaultParagraphFont"/>
    <w:uiPriority w:val="99"/>
    <w:semiHidden/>
    <w:qFormat/>
    <w:rsid w:val="006e2f1f"/>
    <w:rPr>
      <w:color w:val="808080"/>
    </w:rPr>
  </w:style>
  <w:style w:type="character" w:styleId="CabealhoChar" w:customStyle="1">
    <w:name w:val="Cabeçalho Char"/>
    <w:basedOn w:val="DefaultParagraphFont"/>
    <w:link w:val="Cabealho"/>
    <w:uiPriority w:val="99"/>
    <w:semiHidden/>
    <w:qFormat/>
    <w:rsid w:val="00ce7343"/>
    <w:rPr>
      <w:sz w:val="24"/>
      <w:szCs w:val="24"/>
      <w:lang w:eastAsia="en-US"/>
    </w:rPr>
  </w:style>
  <w:style w:type="character" w:styleId="RodapChar" w:customStyle="1">
    <w:name w:val="Rodapé Char"/>
    <w:basedOn w:val="DefaultParagraphFont"/>
    <w:link w:val="Rodap"/>
    <w:uiPriority w:val="99"/>
    <w:semiHidden/>
    <w:qFormat/>
    <w:rsid w:val="00ce7343"/>
    <w:rPr>
      <w:sz w:val="24"/>
      <w:szCs w:val="24"/>
      <w:lang w:eastAsia="en-US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f02140"/>
    <w:rPr>
      <w:lang w:eastAsia="en-US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f02140"/>
    <w:rPr>
      <w:b/>
      <w:bCs/>
      <w:lang w:eastAsia="en-US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f02140"/>
    <w:rPr>
      <w:rFonts w:ascii="Segoe UI" w:hAnsi="Segoe UI" w:cs="Segoe UI"/>
      <w:sz w:val="18"/>
      <w:szCs w:val="18"/>
      <w:lang w:eastAsia="en-US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LOnormal" w:customStyle="1">
    <w:name w:val="LO-normal"/>
    <w:qFormat/>
    <w:pPr>
      <w:widowControl/>
      <w:pBdr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pBdr/>
      <w:tabs>
        <w:tab w:val="clear" w:pos="720"/>
        <w:tab w:val="right" w:pos="9020" w:leader="none"/>
      </w:tabs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Cabealho">
    <w:name w:val="Header"/>
    <w:basedOn w:val="Normal"/>
    <w:link w:val="CabealhoChar"/>
    <w:uiPriority w:val="99"/>
    <w:semiHidden/>
    <w:unhideWhenUsed/>
    <w:rsid w:val="00ce734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semiHidden/>
    <w:unhideWhenUsed/>
    <w:rsid w:val="00ce7343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f0214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f02140"/>
    <w:pPr/>
    <w:rPr>
      <w:b/>
      <w:bCs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f02140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211daf"/>
    <w:pPr>
      <w:widowControl/>
      <w:pBdr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NormalTable0">
    <w:name w:val="Normal Table0"/>
    <w:rsid w:val="00ce7343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Simples2">
    <w:name w:val="Plain Table 2"/>
    <w:basedOn w:val="Tabelanormal"/>
    <w:uiPriority w:val="42"/>
    <w:rsid w:val="00dd77d8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sz="4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2Vert">
      <w:tblPr/>
      <w:tcPr>
        <w:tcBorders>
          <w:left w:val="single" w:color="7F7F7F" w:themeColor="text1" w:sz="4" w:space="0"/>
          <w:right w:val="single" w:color="7F7F7F" w:themeColor="text1" w:sz="4" w:space="0"/>
        </w:tcBorders>
      </w:tcPr>
    </w:tblStylePr>
    <w:tblStylePr w:type="band1Horz">
      <w:tblPr/>
      <w:tcPr>
        <w:tcBorders>
          <w:top w:val="single" w:color="7F7F7F" w:themeColor="text1" w:sz="4" w:space="0"/>
          <w:bottom w:val="single" w:color="7F7F7F" w:themeColor="text1" w:sz="4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glossaryDocument" Target="glossary/document.xml"/><Relationship Id="rId10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434488A4CFA4CF9A8918B8952D01B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00E19EE-B909-47BD-9BCB-48EEB4F91997}"/>
      </w:docPartPr>
      <w:docPartBody>
        <w:p w:rsidR="009E118A" w:rsidRDefault="009E118A">
          <w:pPr>
            <w:pStyle w:val="A434488A4CFA4CF9A8918B8952D01B50"/>
          </w:pPr>
          <w:r w:rsidRPr="008463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C53A54EF722E49489EB978D8C240492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D799734-FAE2-404C-A5B1-EACD7F02C96D}"/>
      </w:docPartPr>
      <w:docPartBody>
        <w:p w:rsidR="00174486" w:rsidRDefault="00174486" w:rsidP="00174486">
          <w:pPr>
            <w:pStyle w:val="C53A54EF722E49489EB978D8C240492F"/>
          </w:pPr>
          <w:r w:rsidRPr="2A56FD8E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ACE3233C9B7F4B0B8C61E8BF419EAC5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6E171B5-80F4-4345-8A0E-DC2F265A651A}"/>
      </w:docPartPr>
      <w:docPartBody>
        <w:p w:rsidR="00341E8C" w:rsidRDefault="00174486" w:rsidP="00174486">
          <w:pPr>
            <w:pStyle w:val="ACE3233C9B7F4B0B8C61E8BF419EAC50"/>
          </w:pPr>
          <w:r w:rsidRPr="008463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37110190DF264A0BA9E951D60E5870F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472DA6-C901-4B3F-B9C6-22C5836E3641}"/>
      </w:docPartPr>
      <w:docPartBody>
        <w:p w:rsidR="00341E8C" w:rsidRDefault="00174486" w:rsidP="00174486">
          <w:pPr>
            <w:pStyle w:val="37110190DF264A0BA9E951D60E5870F2"/>
          </w:pPr>
          <w:r w:rsidRPr="50528D01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DefaultPlaceholder_-18540134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93EA159-4214-4C13-9999-86F8305FD64F}"/>
      </w:docPartPr>
      <w:docPartBody>
        <w:p w:rsidR="00565ADA" w:rsidRDefault="000B66FC">
          <w:r w:rsidRPr="008463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854BB9AD7AF34A5B888F9552FFF9043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EE11CE4-A10E-4E80-A4E6-D70B868D8889}"/>
      </w:docPartPr>
      <w:docPartBody>
        <w:p w:rsidR="00876C4D" w:rsidRDefault="00C7221C" w:rsidP="00C7221C">
          <w:pPr>
            <w:pStyle w:val="854BB9AD7AF34A5B888F9552FFF9043C"/>
          </w:pPr>
          <w:r w:rsidRPr="00846397">
            <w:rPr>
              <w:rStyle w:val="TextodoEspaoReservado"/>
            </w:rPr>
            <w:t>Clique ou toque aqui para inserir o texto.</w:t>
          </w:r>
        </w:p>
      </w:docPartBody>
    </w:docPart>
    <w:docPart>
      <w:docPartPr>
        <w:name w:val="F4E5A530A7434D5CB9685A3815B4C0C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27FBC81-945E-40C3-99AC-5E3C66A8CF49}"/>
      </w:docPartPr>
      <w:docPartBody>
        <w:p w:rsidR="00000000" w:rsidRDefault="00876C4D" w:rsidP="00876C4D">
          <w:pPr>
            <w:pStyle w:val="F4E5A530A7434D5CB9685A3815B4C0C6"/>
          </w:pPr>
          <w:r w:rsidRPr="73507FAB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A27F4E66C4924F16AA1A94A5F2DCD99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44DF57-1B61-497B-BBE0-CB34016CE61F}"/>
      </w:docPartPr>
      <w:docPartBody>
        <w:p w:rsidR="00000000" w:rsidRDefault="00876C4D" w:rsidP="00876C4D">
          <w:pPr>
            <w:pStyle w:val="A27F4E66C4924F16AA1A94A5F2DCD998"/>
          </w:pPr>
          <w:r w:rsidRPr="618E7F99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7633E308EC804CF7B23A75021620BD0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31153A1-1B4A-4A72-BC20-B0D88B34F627}"/>
      </w:docPartPr>
      <w:docPartBody>
        <w:p w:rsidR="00000000" w:rsidRDefault="00876C4D" w:rsidP="00876C4D">
          <w:pPr>
            <w:pStyle w:val="7633E308EC804CF7B23A75021620BD03"/>
          </w:pPr>
          <w:r w:rsidRPr="2A56FD8E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0E50BC9510EA44CF9C8CB75F6E12160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8075C23-9FC7-477E-B553-3A9C26A68AEE}"/>
      </w:docPartPr>
      <w:docPartBody>
        <w:p w:rsidR="00000000" w:rsidRDefault="00876C4D" w:rsidP="00876C4D">
          <w:pPr>
            <w:pStyle w:val="0E50BC9510EA44CF9C8CB75F6E12160C"/>
          </w:pPr>
          <w:r w:rsidRPr="00732B3D">
            <w:rPr>
              <w:rStyle w:val="TextodoEspaoReservado"/>
            </w:rPr>
            <w:t>Clique aqui para inserir texto.</w:t>
          </w:r>
        </w:p>
      </w:docPartBody>
    </w:docPart>
    <w:docPart>
      <w:docPartPr>
        <w:name w:val="FACCBAE41D48440CB35AB972BE713D8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656FA44-9464-440D-8192-6EF55E5CF37A}"/>
      </w:docPartPr>
      <w:docPartBody>
        <w:p w:rsidR="00000000" w:rsidRDefault="00876C4D" w:rsidP="00876C4D">
          <w:pPr>
            <w:pStyle w:val="FACCBAE41D48440CB35AB972BE713D81"/>
          </w:pPr>
          <w:r w:rsidRPr="24D5BC86">
            <w:rPr>
              <w:rStyle w:val="TextodoEspaoReservado"/>
            </w:rPr>
            <w:t>Clique aqui para inserir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18A"/>
    <w:rsid w:val="000B66FC"/>
    <w:rsid w:val="00174486"/>
    <w:rsid w:val="00341E8C"/>
    <w:rsid w:val="00565ADA"/>
    <w:rsid w:val="00876C4D"/>
    <w:rsid w:val="009E118A"/>
    <w:rsid w:val="00C72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49F7C15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76C4D"/>
    <w:rPr>
      <w:color w:val="808080"/>
    </w:rPr>
  </w:style>
  <w:style w:type="paragraph" w:customStyle="1" w:styleId="3AAA551184444454A39BBCBB065D0AE6">
    <w:name w:val="3AAA551184444454A39BBCBB065D0AE6"/>
    <w:rsid w:val="009E118A"/>
  </w:style>
  <w:style w:type="paragraph" w:customStyle="1" w:styleId="93DE9DDA0BAF433E8668FEA43C1CBFF4">
    <w:name w:val="93DE9DDA0BAF433E8668FEA43C1CBFF4"/>
  </w:style>
  <w:style w:type="paragraph" w:customStyle="1" w:styleId="F71F11469F2742F4A34E66A766715CC7">
    <w:name w:val="F71F11469F2742F4A34E66A766715CC7"/>
  </w:style>
  <w:style w:type="paragraph" w:customStyle="1" w:styleId="10AC16650C42432DB501E38DC27348D0">
    <w:name w:val="10AC16650C42432DB501E38DC27348D0"/>
    <w:rsid w:val="009E118A"/>
  </w:style>
  <w:style w:type="paragraph" w:customStyle="1" w:styleId="A434488A4CFA4CF9A8918B8952D01B50">
    <w:name w:val="A434488A4CFA4CF9A8918B8952D01B50"/>
  </w:style>
  <w:style w:type="paragraph" w:customStyle="1" w:styleId="0E21D5D2DCD842558E5376FDCC5DAFE0">
    <w:name w:val="0E21D5D2DCD842558E5376FDCC5DAFE0"/>
    <w:rsid w:val="009E118A"/>
  </w:style>
  <w:style w:type="paragraph" w:customStyle="1" w:styleId="537E2B6D7F8C46EBBA64E91A80509AFE">
    <w:name w:val="537E2B6D7F8C46EBBA64E91A80509AFE"/>
    <w:rsid w:val="009E118A"/>
  </w:style>
  <w:style w:type="paragraph" w:customStyle="1" w:styleId="ACD5825420584592BBF73FCCE90A15A0">
    <w:name w:val="ACD5825420584592BBF73FCCE90A15A0"/>
  </w:style>
  <w:style w:type="paragraph" w:customStyle="1" w:styleId="E124712C83E445B5A309F6C03BC75B5F">
    <w:name w:val="E124712C83E445B5A309F6C03BC75B5F"/>
    <w:rsid w:val="009E118A"/>
  </w:style>
  <w:style w:type="paragraph" w:customStyle="1" w:styleId="79B434F70FD5497AB26D8F5BFA850BDA">
    <w:name w:val="79B434F70FD5497AB26D8F5BFA850BDA"/>
  </w:style>
  <w:style w:type="paragraph" w:customStyle="1" w:styleId="E7204E07510342DCA112B07DECF4AE49">
    <w:name w:val="E7204E07510342DCA112B07DECF4AE49"/>
  </w:style>
  <w:style w:type="paragraph" w:customStyle="1" w:styleId="827AA8B8FC024E7FB50DD3A18C1AFA41">
    <w:name w:val="827AA8B8FC024E7FB50DD3A18C1AFA41"/>
  </w:style>
  <w:style w:type="paragraph" w:customStyle="1" w:styleId="C53A54EF722E49489EB978D8C240492F">
    <w:name w:val="C53A54EF722E49489EB978D8C240492F"/>
    <w:rsid w:val="00174486"/>
  </w:style>
  <w:style w:type="paragraph" w:customStyle="1" w:styleId="FC6802CA7F734749A0AC0C1B339DB1BC">
    <w:name w:val="FC6802CA7F734749A0AC0C1B339DB1BC"/>
  </w:style>
  <w:style w:type="paragraph" w:customStyle="1" w:styleId="C4D1BAA93CE04B18A649A4BA6683F010">
    <w:name w:val="C4D1BAA93CE04B18A649A4BA6683F010"/>
  </w:style>
  <w:style w:type="paragraph" w:customStyle="1" w:styleId="904A6674C5874CD8BBEC7485A4D4B7C7">
    <w:name w:val="904A6674C5874CD8BBEC7485A4D4B7C7"/>
  </w:style>
  <w:style w:type="paragraph" w:customStyle="1" w:styleId="ACE3233C9B7F4B0B8C61E8BF419EAC50">
    <w:name w:val="ACE3233C9B7F4B0B8C61E8BF419EAC50"/>
    <w:rsid w:val="00174486"/>
  </w:style>
  <w:style w:type="paragraph" w:customStyle="1" w:styleId="1A044B9DBC134D45ABC68165C5672785">
    <w:name w:val="1A044B9DBC134D45ABC68165C5672785"/>
  </w:style>
  <w:style w:type="paragraph" w:customStyle="1" w:styleId="37110190DF264A0BA9E951D60E5870F2">
    <w:name w:val="37110190DF264A0BA9E951D60E5870F2"/>
    <w:rsid w:val="00174486"/>
  </w:style>
  <w:style w:type="paragraph" w:customStyle="1" w:styleId="854BB9AD7AF34A5B888F9552FFF9043C">
    <w:name w:val="854BB9AD7AF34A5B888F9552FFF9043C"/>
    <w:rsid w:val="00C7221C"/>
  </w:style>
  <w:style w:type="paragraph" w:customStyle="1" w:styleId="F4E5A530A7434D5CB9685A3815B4C0C6">
    <w:name w:val="F4E5A530A7434D5CB9685A3815B4C0C6"/>
    <w:rsid w:val="00876C4D"/>
  </w:style>
  <w:style w:type="paragraph" w:customStyle="1" w:styleId="A27F4E66C4924F16AA1A94A5F2DCD998">
    <w:name w:val="A27F4E66C4924F16AA1A94A5F2DCD998"/>
    <w:rsid w:val="00876C4D"/>
  </w:style>
  <w:style w:type="paragraph" w:customStyle="1" w:styleId="7633E308EC804CF7B23A75021620BD03">
    <w:name w:val="7633E308EC804CF7B23A75021620BD03"/>
    <w:rsid w:val="00876C4D"/>
  </w:style>
  <w:style w:type="paragraph" w:customStyle="1" w:styleId="0E50BC9510EA44CF9C8CB75F6E12160C">
    <w:name w:val="0E50BC9510EA44CF9C8CB75F6E12160C"/>
    <w:rsid w:val="00876C4D"/>
  </w:style>
  <w:style w:type="paragraph" w:customStyle="1" w:styleId="FACCBAE41D48440CB35AB972BE713D81">
    <w:name w:val="FACCBAE41D48440CB35AB972BE713D81"/>
    <w:rsid w:val="00876C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38663-C6D7-4372-A699-46A0B7BB8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Application>LibreOffice/7.2.1.2$Windows_X86_64 LibreOffice_project/87b77fad49947c1441b67c559c339af8f3517e22</Application>
  <AppVersion>15.0000</AppVersion>
  <Pages>3</Pages>
  <Words>1132</Words>
  <Characters>5933</Characters>
  <CharactersWithSpaces>7011</CharactersWithSpaces>
  <Paragraphs>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2023-09-26T16:55:00Z</dcterms:created>
  <dc:creator>JPV</dc:creator>
  <dc:description/>
  <dc:language>pt-BR</dc:language>
  <cp:lastModifiedBy/>
  <dcterms:modified xsi:type="dcterms:W3CDTF">2023-10-04T10:16:49Z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