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pPr>
      <w:r>
        <w:rPr/>
        <w:drawing>
          <wp:anchor behindDoc="0" distT="152400" distB="152400" distL="152400" distR="152400" simplePos="0" locked="0" layoutInCell="0" allowOverlap="1" relativeHeight="2">
            <wp:simplePos x="0" y="0"/>
            <wp:positionH relativeFrom="page">
              <wp:posOffset>9525</wp:posOffset>
            </wp:positionH>
            <wp:positionV relativeFrom="page">
              <wp:posOffset>304800</wp:posOffset>
            </wp:positionV>
            <wp:extent cx="7556500" cy="1115060"/>
            <wp:effectExtent l="0" t="0" r="0" b="0"/>
            <wp:wrapTopAndBottom/>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p>
    <w:p>
      <w:pPr>
        <w:pStyle w:val="LOnormal"/>
        <w:ind w:right="284" w:hanging="0"/>
        <w:jc w:val="center"/>
        <w:rPr>
          <w:rFonts w:ascii="Arial" w:hAnsi="Arial" w:eastAsia="Arial" w:cs="Arial"/>
          <w:color w:val="000000"/>
          <w:sz w:val="22"/>
          <w:szCs w:val="22"/>
          <w:u w:val="none" w:color="000000"/>
          <w:lang w:val="pt-BR"/>
        </w:rPr>
      </w:pPr>
      <w:r>
        <w:rPr>
          <w:rStyle w:val="Normaltextrun"/>
          <w:rFonts w:cs="Arial" w:ascii="Arial" w:hAnsi="Arial"/>
          <w:b/>
          <w:bCs/>
          <w:color w:val="000000"/>
          <w:sz w:val="22"/>
          <w:szCs w:val="22"/>
          <w:lang w:val="pt-BR"/>
        </w:rPr>
        <w:t>ANÁLISE ESTATÍSTICA DECRITIVA DE SILAGENS DE MILHO UTILIZADAS NO NOROESTE GAÚCHO - PERFIL FERMENTATIVO</w:t>
      </w:r>
    </w:p>
    <w:p>
      <w:pPr>
        <w:pStyle w:val="LOnormal"/>
        <w:ind w:right="284" w:hanging="0"/>
        <w:jc w:val="center"/>
        <w:rPr>
          <w:rFonts w:ascii="Arial" w:hAnsi="Arial"/>
          <w:color w:val="000000"/>
          <w:sz w:val="22"/>
          <w:szCs w:val="22"/>
          <w:u w:val="none" w:color="000000"/>
          <w:lang w:val="pt-BR"/>
        </w:rPr>
      </w:pPr>
      <w:r>
        <w:rPr>
          <w:rFonts w:ascii="Arial" w:hAnsi="Arial"/>
          <w:color w:val="000000"/>
          <w:sz w:val="22"/>
          <w:szCs w:val="22"/>
          <w:u w:val="none" w:color="000000"/>
          <w:lang w:val="pt-BR"/>
        </w:rPr>
      </w:r>
    </w:p>
    <w:p>
      <w:pPr>
        <w:pStyle w:val="Paragraph"/>
        <w:spacing w:beforeAutospacing="0" w:before="0" w:afterAutospacing="0" w:after="0"/>
        <w:ind w:right="270" w:hanging="0"/>
        <w:jc w:val="center"/>
        <w:textAlignment w:val="baseline"/>
        <w:rPr>
          <w:rFonts w:ascii="Arial" w:hAnsi="Arial" w:cs="Arial"/>
          <w:color w:val="00000A"/>
          <w:sz w:val="22"/>
          <w:szCs w:val="22"/>
        </w:rPr>
      </w:pPr>
      <w:r>
        <w:rPr>
          <w:rStyle w:val="Normaltextrun"/>
          <w:rFonts w:cs="Arial" w:ascii="Arial" w:hAnsi="Arial"/>
          <w:color w:val="000000"/>
          <w:sz w:val="22"/>
          <w:szCs w:val="22"/>
          <w:u w:val="single"/>
        </w:rPr>
        <w:t>Fabiana Ortiz Melo¹</w:t>
      </w:r>
      <w:r>
        <w:rPr>
          <w:rStyle w:val="Normaltextrun"/>
          <w:rFonts w:cs="Arial" w:ascii="Arial" w:hAnsi="Arial"/>
          <w:color w:val="000000"/>
          <w:sz w:val="22"/>
          <w:szCs w:val="22"/>
        </w:rPr>
        <w:t>, Giovana Siqueira Giacomelli¹, Maria Marina Serrão Cabral¹, Fabricio de Oliveira Almeida², Ione Maria Pereira Haygert-Velho</w:t>
      </w:r>
      <w:r>
        <w:rPr>
          <w:rStyle w:val="Normaltextrun"/>
          <w:rFonts w:cs="Arial" w:ascii="Arial" w:hAnsi="Arial"/>
          <w:color w:val="000000"/>
          <w:sz w:val="22"/>
          <w:szCs w:val="22"/>
          <w:vertAlign w:val="superscript"/>
        </w:rPr>
        <w:t>3</w:t>
      </w:r>
      <w:r>
        <w:rPr>
          <w:rStyle w:val="Normaltextrun"/>
          <w:rFonts w:cs="Arial" w:ascii="Arial" w:hAnsi="Arial"/>
          <w:color w:val="000000"/>
          <w:sz w:val="22"/>
          <w:szCs w:val="22"/>
        </w:rPr>
        <w:t>, João Pedro Velho</w:t>
      </w:r>
      <w:r>
        <w:rPr>
          <w:rStyle w:val="Normaltextrun"/>
          <w:rFonts w:cs="Arial" w:ascii="Arial" w:hAnsi="Arial"/>
          <w:color w:val="000000"/>
          <w:sz w:val="22"/>
          <w:szCs w:val="22"/>
          <w:vertAlign w:val="superscript"/>
        </w:rPr>
        <w:t>3</w:t>
      </w:r>
    </w:p>
    <w:p>
      <w:pPr>
        <w:pStyle w:val="Paragraph"/>
        <w:spacing w:beforeAutospacing="0" w:before="0" w:afterAutospacing="0" w:after="0"/>
        <w:ind w:right="270" w:hanging="0"/>
        <w:jc w:val="center"/>
        <w:textAlignment w:val="baseline"/>
        <w:rPr>
          <w:rFonts w:ascii="Arial" w:hAnsi="Arial" w:cs="Arial"/>
          <w:color w:val="00000A"/>
          <w:sz w:val="22"/>
          <w:szCs w:val="22"/>
        </w:rPr>
      </w:pPr>
      <w:r>
        <w:rPr>
          <w:rFonts w:cs="Arial" w:ascii="Arial" w:hAnsi="Arial"/>
          <w:color w:val="00000A"/>
          <w:sz w:val="22"/>
          <w:szCs w:val="22"/>
        </w:rPr>
      </w:r>
    </w:p>
    <w:p>
      <w:pPr>
        <w:pStyle w:val="Paragraph"/>
        <w:spacing w:beforeAutospacing="0" w:before="0" w:afterAutospacing="0" w:after="0"/>
        <w:ind w:right="270" w:hanging="0"/>
        <w:jc w:val="center"/>
        <w:textAlignment w:val="baseline"/>
        <w:rPr>
          <w:rFonts w:ascii="Arial" w:hAnsi="Arial" w:cs="Arial"/>
          <w:color w:val="00000A"/>
          <w:sz w:val="22"/>
          <w:szCs w:val="22"/>
        </w:rPr>
      </w:pPr>
      <w:r>
        <w:rPr>
          <w:rStyle w:val="Normaltextrun"/>
          <w:rFonts w:cs="Arial" w:ascii="Arial" w:hAnsi="Arial"/>
          <w:color w:val="000000"/>
          <w:sz w:val="22"/>
          <w:szCs w:val="22"/>
        </w:rPr>
        <w:t>1 Acadêmica do curso de Zootecnia pela Universidade Federal de Santa Maria, Campus Palmeira das Missões, 2 Responsável Técnico e Nutricionista Animal na Agrotech Soluções Agrícolas, 3 Professor do Departamento de Zootecnia e Ciências Biológicas, Universidade Federal de Santa Maria, Campus de Palmeira das Missões</w:t>
      </w:r>
    </w:p>
    <w:p>
      <w:pPr>
        <w:pStyle w:val="Paragraph"/>
        <w:spacing w:beforeAutospacing="0" w:before="0" w:afterAutospacing="0" w:after="0"/>
        <w:ind w:right="270" w:hanging="0"/>
        <w:jc w:val="center"/>
        <w:textAlignment w:val="baseline"/>
        <w:rPr>
          <w:rStyle w:val="Eop"/>
          <w:rFonts w:ascii="Arial" w:hAnsi="Arial" w:cs="Arial"/>
          <w:color w:val="000000"/>
          <w:sz w:val="22"/>
          <w:szCs w:val="22"/>
        </w:rPr>
      </w:pPr>
      <w:r>
        <w:rPr>
          <w:rStyle w:val="Normaltextrun"/>
          <w:rFonts w:cs="Arial" w:ascii="Arial" w:hAnsi="Arial"/>
          <w:color w:val="000000"/>
          <w:sz w:val="22"/>
          <w:szCs w:val="22"/>
        </w:rPr>
        <w:t xml:space="preserve">E-mail: </w:t>
      </w:r>
      <w:hyperlink r:id="rId3" w:tgtFrame="_blank">
        <w:r>
          <w:rPr>
            <w:rStyle w:val="Normaltextrun"/>
            <w:rFonts w:cs="Arial" w:ascii="Arial" w:hAnsi="Arial"/>
            <w:color w:val="000000"/>
            <w:sz w:val="22"/>
            <w:szCs w:val="22"/>
          </w:rPr>
          <w:t>fabianaortizmeloo@gmail.com</w:t>
        </w:r>
      </w:hyperlink>
    </w:p>
    <w:p>
      <w:pPr>
        <w:pStyle w:val="Paragraph"/>
        <w:spacing w:beforeAutospacing="0" w:before="0" w:afterAutospacing="0" w:after="0"/>
        <w:ind w:right="270" w:hanging="0"/>
        <w:jc w:val="center"/>
        <w:textAlignment w:val="baseline"/>
        <w:rPr>
          <w:rFonts w:ascii="Arial" w:hAnsi="Arial" w:cs="Arial"/>
          <w:color w:val="00000A"/>
          <w:sz w:val="22"/>
          <w:szCs w:val="22"/>
        </w:rPr>
      </w:pPr>
      <w:r>
        <w:rPr>
          <w:rFonts w:cs="Arial" w:ascii="Arial" w:hAnsi="Arial"/>
          <w:color w:val="00000A"/>
          <w:sz w:val="22"/>
          <w:szCs w:val="22"/>
        </w:rPr>
      </w:r>
      <w:bookmarkStart w:id="0" w:name="_GoBack"/>
      <w:bookmarkStart w:id="1" w:name="_GoBack"/>
      <w:bookmarkEnd w:id="1"/>
    </w:p>
    <w:p>
      <w:pPr>
        <w:pStyle w:val="Normal"/>
        <w:pBdr/>
        <w:jc w:val="both"/>
        <w:textAlignment w:val="baseline"/>
        <w:rPr>
          <w:rFonts w:ascii="Segoe UI" w:hAnsi="Segoe UI" w:eastAsia="Times New Roman" w:cs="Segoe UI"/>
          <w:sz w:val="18"/>
          <w:szCs w:val="18"/>
          <w:lang w:val="pt-BR" w:eastAsia="pt-BR"/>
        </w:rPr>
      </w:pPr>
      <w:r>
        <w:rPr>
          <w:rFonts w:eastAsia="Times New Roman" w:cs="Arial" w:ascii="Arial" w:hAnsi="Arial"/>
          <w:b/>
          <w:bCs/>
          <w:color w:val="000000"/>
          <w:sz w:val="22"/>
          <w:szCs w:val="22"/>
          <w:lang w:val="pt-BR" w:eastAsia="pt-BR"/>
        </w:rPr>
        <w:t>Contribuição para a sociedade</w:t>
      </w:r>
      <w:r>
        <w:rPr>
          <w:rFonts w:eastAsia="Times New Roman" w:cs="Arial" w:ascii="Arial" w:hAnsi="Arial"/>
          <w:color w:val="000000"/>
          <w:sz w:val="22"/>
          <w:szCs w:val="22"/>
          <w:lang w:val="pt-BR" w:eastAsia="pt-BR"/>
        </w:rPr>
        <w:t>: Objetivou-se apresentar o perfil fermentativo das silagens utilizadas por algumas fazendas do noroeste Gaúcho. Foram coletadas 44 amostras de silagem correspondentes aos municípios de Almirante Tamandaré, Boa Vista das Missões, Cerro Grande, Chapada, Dois Irmãos das Missões, Erval Seco e Palmeira das Missões, os dados foram tabulados pelo grupo de pesquisa Inovazoot em planilha Excel</w:t>
      </w:r>
      <w:r>
        <w:rPr>
          <w:rFonts w:eastAsia="Times New Roman" w:cs="Arial" w:ascii="Arial" w:hAnsi="Arial"/>
          <w:color w:val="000000"/>
          <w:sz w:val="17"/>
          <w:szCs w:val="17"/>
          <w:vertAlign w:val="superscript"/>
          <w:lang w:val="pt-BR" w:eastAsia="pt-BR"/>
        </w:rPr>
        <w:t>®</w:t>
      </w:r>
      <w:r>
        <w:rPr>
          <w:rFonts w:eastAsia="Times New Roman" w:cs="Arial" w:ascii="Arial" w:hAnsi="Arial"/>
          <w:color w:val="000000"/>
          <w:sz w:val="22"/>
          <w:szCs w:val="22"/>
          <w:lang w:val="pt-BR" w:eastAsia="pt-BR"/>
        </w:rPr>
        <w:t xml:space="preserve"> e a análise estatística descritiva foi realizada com o software MiniTab</w:t>
      </w:r>
      <w:r>
        <w:rPr>
          <w:rFonts w:eastAsia="Times New Roman" w:cs="Arial" w:ascii="Arial" w:hAnsi="Arial"/>
          <w:color w:val="000000"/>
          <w:sz w:val="17"/>
          <w:szCs w:val="17"/>
          <w:vertAlign w:val="superscript"/>
          <w:lang w:val="pt-BR" w:eastAsia="pt-BR"/>
        </w:rPr>
        <w:t>®</w:t>
      </w:r>
      <w:r>
        <w:rPr>
          <w:rFonts w:eastAsia="Times New Roman" w:cs="Arial" w:ascii="Arial" w:hAnsi="Arial"/>
          <w:color w:val="000000"/>
          <w:sz w:val="22"/>
          <w:szCs w:val="22"/>
          <w:lang w:val="pt-BR" w:eastAsia="pt-BR"/>
        </w:rPr>
        <w:t>. Conhecer o perfil fermentativo da silagem de milho é importante para avaliar sua conservação.</w:t>
      </w:r>
    </w:p>
    <w:p>
      <w:pPr>
        <w:pStyle w:val="Normal"/>
        <w:pBdr/>
        <w:jc w:val="both"/>
        <w:textAlignment w:val="baseline"/>
        <w:rPr>
          <w:rFonts w:ascii="Segoe UI" w:hAnsi="Segoe UI" w:eastAsia="Times New Roman" w:cs="Segoe UI"/>
          <w:sz w:val="18"/>
          <w:szCs w:val="18"/>
          <w:lang w:val="pt-BR" w:eastAsia="pt-BR"/>
        </w:rPr>
      </w:pPr>
      <w:r>
        <w:rPr>
          <w:rFonts w:eastAsia="Times New Roman" w:cs="Segoe UI" w:ascii="Segoe UI" w:hAnsi="Segoe UI"/>
          <w:sz w:val="18"/>
          <w:szCs w:val="18"/>
          <w:lang w:val="pt-BR" w:eastAsia="pt-BR"/>
        </w:rPr>
      </w:r>
    </w:p>
    <w:p>
      <w:pPr>
        <w:pStyle w:val="Normal"/>
        <w:pBdr/>
        <w:jc w:val="both"/>
        <w:textAlignment w:val="baseline"/>
        <w:rPr>
          <w:rFonts w:ascii="Segoe UI" w:hAnsi="Segoe UI" w:eastAsia="Times New Roman" w:cs="Segoe UI"/>
          <w:sz w:val="18"/>
          <w:szCs w:val="18"/>
          <w:lang w:val="pt-BR" w:eastAsia="pt-BR"/>
        </w:rPr>
      </w:pPr>
      <w:r>
        <w:rPr>
          <w:rFonts w:eastAsia="Times New Roman" w:cs="Arial" w:ascii="Arial" w:hAnsi="Arial"/>
          <w:b/>
          <w:bCs/>
          <w:color w:val="000000"/>
          <w:sz w:val="22"/>
          <w:szCs w:val="22"/>
          <w:lang w:val="pt-BR" w:eastAsia="pt-BR"/>
        </w:rPr>
        <w:t>Palavras-chave</w:t>
      </w:r>
      <w:r>
        <w:rPr>
          <w:rFonts w:eastAsia="Times New Roman" w:cs="Arial" w:ascii="Arial" w:hAnsi="Arial"/>
          <w:color w:val="000000"/>
          <w:sz w:val="22"/>
          <w:szCs w:val="22"/>
          <w:lang w:val="pt-BR" w:eastAsia="pt-BR"/>
        </w:rPr>
        <w:t>: acético, ácido, láctico, pH, qualidade</w:t>
      </w:r>
    </w:p>
    <w:p>
      <w:pPr>
        <w:pStyle w:val="Normal"/>
        <w:pBdr/>
        <w:jc w:val="both"/>
        <w:textAlignment w:val="baseline"/>
        <w:rPr>
          <w:rFonts w:ascii="Segoe UI" w:hAnsi="Segoe UI" w:eastAsia="Times New Roman" w:cs="Segoe UI"/>
          <w:sz w:val="18"/>
          <w:szCs w:val="18"/>
          <w:lang w:val="pt-BR" w:eastAsia="pt-BR"/>
        </w:rPr>
      </w:pPr>
      <w:r>
        <w:rPr>
          <w:rFonts w:eastAsia="Times New Roman" w:cs="Segoe UI" w:ascii="Segoe UI" w:hAnsi="Segoe UI"/>
          <w:sz w:val="18"/>
          <w:szCs w:val="18"/>
          <w:lang w:val="pt-BR" w:eastAsia="pt-BR"/>
        </w:rPr>
      </w:r>
    </w:p>
    <w:p>
      <w:pPr>
        <w:pStyle w:val="Normal"/>
        <w:pBdr/>
        <w:jc w:val="both"/>
        <w:textAlignment w:val="baseline"/>
        <w:rPr>
          <w:rFonts w:eastAsia="Times New Roman"/>
          <w:lang w:val="pt-BR" w:eastAsia="pt-BR"/>
        </w:rPr>
      </w:pPr>
      <w:r>
        <w:rPr>
          <w:rFonts w:eastAsia="Times New Roman" w:cs="Arial" w:ascii="Arial" w:hAnsi="Arial"/>
          <w:b/>
          <w:bCs/>
          <w:color w:val="000000"/>
          <w:sz w:val="22"/>
          <w:szCs w:val="22"/>
          <w:lang w:val="pt-BR" w:eastAsia="pt-BR"/>
        </w:rPr>
        <w:t xml:space="preserve">Introdução: </w:t>
      </w:r>
      <w:r>
        <w:rPr>
          <w:rFonts w:eastAsia="Times New Roman" w:cs="Arial" w:ascii="Arial" w:hAnsi="Arial"/>
          <w:color w:val="000000"/>
          <w:sz w:val="22"/>
          <w:szCs w:val="22"/>
          <w:lang w:val="pt-BR" w:eastAsia="pt-BR"/>
        </w:rPr>
        <w:t>A composição de uma silagem pode ser útil para compreendermos o desempenho dos animais com ela alimentados (KUNG et al., 2018)</w:t>
      </w:r>
      <w:r>
        <w:rPr>
          <w:rFonts w:eastAsia="Times New Roman" w:cs="Arial" w:ascii="Arial" w:hAnsi="Arial"/>
          <w:color w:val="00000A"/>
          <w:sz w:val="22"/>
          <w:szCs w:val="22"/>
          <w:lang w:val="pt-BR" w:eastAsia="pt-BR"/>
        </w:rPr>
        <w:t>,</w:t>
      </w:r>
      <w:r>
        <w:rPr>
          <w:rFonts w:eastAsia="Times New Roman" w:cs="Arial" w:ascii="Arial" w:hAnsi="Arial"/>
          <w:b/>
          <w:bCs/>
          <w:color w:val="000000"/>
          <w:sz w:val="22"/>
          <w:szCs w:val="22"/>
          <w:lang w:val="pt-BR" w:eastAsia="pt-BR"/>
        </w:rPr>
        <w:t xml:space="preserve"> </w:t>
      </w:r>
      <w:r>
        <w:rPr>
          <w:rFonts w:eastAsia="Times New Roman" w:cs="Arial" w:ascii="Arial" w:hAnsi="Arial"/>
          <w:color w:val="000000"/>
          <w:sz w:val="22"/>
          <w:szCs w:val="22"/>
          <w:lang w:val="pt-BR" w:eastAsia="pt-BR"/>
        </w:rPr>
        <w:t>a sociedade acadêmica está empenhada em elevar o valor nutritivo da silagem uma vez que sua eficiência para alimentar ruminantes é comprovada (FERRARETTO; SHAVER; LUCK, 2018)</w:t>
      </w:r>
      <w:r>
        <w:rPr>
          <w:rFonts w:eastAsia="Times New Roman" w:cs="Arial" w:ascii="Arial" w:hAnsi="Arial"/>
          <w:color w:val="00000A"/>
          <w:sz w:val="22"/>
          <w:szCs w:val="22"/>
          <w:lang w:val="pt-BR" w:eastAsia="pt-BR"/>
        </w:rPr>
        <w:t>. Entretanto, é escasso o conhecimento sobre o perfil fermentativo das silagens produzidas no Rio Grande do Sul e por isso objetivou-se apresentar o perfil fermentativo das silagens utilizadas por algumas fazendas do noroeste Gaúcho.</w:t>
      </w:r>
    </w:p>
    <w:p>
      <w:pPr>
        <w:pStyle w:val="Normal"/>
        <w:pBdr/>
        <w:jc w:val="both"/>
        <w:textAlignment w:val="baseline"/>
        <w:rPr>
          <w:rFonts w:ascii="Segoe UI" w:hAnsi="Segoe UI" w:eastAsia="Times New Roman" w:cs="Segoe UI"/>
          <w:sz w:val="18"/>
          <w:szCs w:val="18"/>
          <w:lang w:val="pt-BR" w:eastAsia="pt-BR"/>
        </w:rPr>
      </w:pPr>
      <w:r>
        <w:rPr>
          <w:rFonts w:eastAsia="Times New Roman" w:cs="Segoe UI" w:ascii="Segoe UI" w:hAnsi="Segoe UI"/>
          <w:sz w:val="18"/>
          <w:szCs w:val="18"/>
          <w:lang w:val="pt-BR" w:eastAsia="pt-BR"/>
        </w:rPr>
      </w:r>
    </w:p>
    <w:p>
      <w:pPr>
        <w:pStyle w:val="Normal"/>
        <w:pBdr/>
        <w:jc w:val="both"/>
        <w:textAlignment w:val="baseline"/>
        <w:rPr>
          <w:rFonts w:ascii="Segoe UI" w:hAnsi="Segoe UI" w:eastAsia="Times New Roman" w:cs="Segoe UI"/>
          <w:sz w:val="18"/>
          <w:szCs w:val="18"/>
          <w:lang w:val="pt-BR" w:eastAsia="pt-BR"/>
        </w:rPr>
      </w:pPr>
      <w:r>
        <w:rPr>
          <w:rFonts w:eastAsia="Times New Roman" w:cs="Arial" w:ascii="Arial" w:hAnsi="Arial"/>
          <w:b/>
          <w:bCs/>
          <w:color w:val="000000"/>
          <w:sz w:val="22"/>
          <w:szCs w:val="22"/>
          <w:lang w:val="pt-BR" w:eastAsia="pt-BR"/>
        </w:rPr>
        <w:t>Material e métodos:</w:t>
      </w:r>
      <w:r>
        <w:rPr>
          <w:rFonts w:eastAsia="Times New Roman" w:cs="Arial" w:ascii="Arial" w:hAnsi="Arial"/>
          <w:color w:val="000000"/>
          <w:sz w:val="22"/>
          <w:szCs w:val="22"/>
          <w:lang w:val="pt-BR" w:eastAsia="pt-BR"/>
        </w:rPr>
        <w:t xml:space="preserve"> As 44 amostras de silagens de milho de planta inteira analisadas foram coletadas de 6 pontos nos silos trincheira e silo superfície, sendo 3 pontos na região inferior e três na região superior de cada silo, em seguida foi realizado o quarteamento das subamostras para formar a amostra padrão de cada silo a ser enviada ao laboratório, já no silo bola realizamos as coletas através de 1 ponto apenas com profundidade de 0 a 40 cm com o auxílio de uma furadeira e um tubo de coleta, ambas as amostras foram coletadas pela equipe técnica da empresa Agrotech Soluções Agrícolas, cujas silagens estavam sendo utilizadas para alimentação de bovinos de leite e corte. Os municípios que fazem parte do estudo são: Almirante Tamandaré, Boa Vista das Missões, Cerro Grande, Chapada, Dois Irmãos das Missões, Erval Seco e Palmeira das Missões. As amostras foram analisadas por laboratório terceirizado através do método NIR. Os resultados das análises foram tabulados em planilha Excel</w:t>
      </w:r>
      <w:r>
        <w:rPr>
          <w:rFonts w:eastAsia="Times New Roman" w:cs="Arial" w:ascii="Arial" w:hAnsi="Arial"/>
          <w:color w:val="000000"/>
          <w:sz w:val="17"/>
          <w:szCs w:val="17"/>
          <w:vertAlign w:val="superscript"/>
          <w:lang w:val="pt-BR" w:eastAsia="pt-BR"/>
        </w:rPr>
        <w:t>®</w:t>
      </w:r>
      <w:r>
        <w:rPr>
          <w:rFonts w:eastAsia="Times New Roman" w:cs="Arial" w:ascii="Arial" w:hAnsi="Arial"/>
          <w:color w:val="000000"/>
          <w:sz w:val="22"/>
          <w:szCs w:val="22"/>
          <w:lang w:val="pt-BR" w:eastAsia="pt-BR"/>
        </w:rPr>
        <w:t xml:space="preserve"> para facilitar a realização da análise estatística, que foi realizada por meio do </w:t>
      </w:r>
      <w:r>
        <w:rPr>
          <w:rFonts w:eastAsia="Times New Roman" w:cs="Arial" w:ascii="Arial" w:hAnsi="Arial"/>
          <w:i/>
          <w:iCs/>
          <w:color w:val="000000"/>
          <w:sz w:val="22"/>
          <w:szCs w:val="22"/>
          <w:lang w:val="pt-BR" w:eastAsia="pt-BR"/>
        </w:rPr>
        <w:t xml:space="preserve">software </w:t>
      </w:r>
      <w:r>
        <w:rPr>
          <w:rFonts w:eastAsia="Times New Roman" w:cs="Arial" w:ascii="Arial" w:hAnsi="Arial"/>
          <w:color w:val="000000"/>
          <w:sz w:val="22"/>
          <w:szCs w:val="22"/>
          <w:lang w:val="pt-BR" w:eastAsia="pt-BR"/>
        </w:rPr>
        <w:t>MiniTab</w:t>
      </w:r>
      <w:r>
        <w:rPr>
          <w:rFonts w:eastAsia="Times New Roman" w:cs="Arial" w:ascii="Arial" w:hAnsi="Arial"/>
          <w:color w:val="000000"/>
          <w:sz w:val="17"/>
          <w:szCs w:val="17"/>
          <w:vertAlign w:val="superscript"/>
          <w:lang w:val="pt-BR" w:eastAsia="pt-BR"/>
        </w:rPr>
        <w:t>®</w:t>
      </w:r>
      <w:r>
        <w:rPr>
          <w:rFonts w:eastAsia="Times New Roman" w:cs="Arial" w:ascii="Arial" w:hAnsi="Arial"/>
          <w:color w:val="000000"/>
          <w:sz w:val="22"/>
          <w:szCs w:val="22"/>
          <w:lang w:val="pt-BR" w:eastAsia="pt-BR"/>
        </w:rPr>
        <w:t>. O perfil fermentativo foi determinado pelo valor de pH e teores de ácido láctico, acético e butírico. Para discussão foi utilizada a matéria seca. O efeito do tipo de silo perante a variável medida não foi levado em conta neste estudo.</w:t>
      </w:r>
    </w:p>
    <w:p>
      <w:pPr>
        <w:pStyle w:val="Normal"/>
        <w:pBdr/>
        <w:jc w:val="both"/>
        <w:textAlignment w:val="baseline"/>
        <w:rPr>
          <w:rFonts w:ascii="Segoe UI" w:hAnsi="Segoe UI" w:eastAsia="Times New Roman" w:cs="Segoe UI"/>
          <w:sz w:val="18"/>
          <w:szCs w:val="18"/>
          <w:lang w:val="pt-BR" w:eastAsia="pt-BR"/>
        </w:rPr>
      </w:pPr>
      <w:r>
        <w:rPr>
          <w:rFonts w:eastAsia="Times New Roman" w:cs="Arial" w:ascii="Arial" w:hAnsi="Arial"/>
          <w:b/>
          <w:bCs/>
          <w:color w:val="000000"/>
          <w:sz w:val="22"/>
          <w:szCs w:val="22"/>
          <w:lang w:val="pt-BR" w:eastAsia="pt-BR"/>
        </w:rPr>
        <w:t>Resultados e discussões:</w:t>
      </w:r>
      <w:r>
        <w:rPr>
          <w:rFonts w:eastAsia="Times New Roman" w:cs="Arial" w:ascii="Arial" w:hAnsi="Arial"/>
          <w:color w:val="000000"/>
          <w:sz w:val="22"/>
          <w:szCs w:val="22"/>
          <w:lang w:val="pt-BR" w:eastAsia="pt-BR"/>
        </w:rPr>
        <w:t xml:space="preserve"> A amplitude dos teores de matéria seca (Tabela 1) demonstra que há silagens colhidas fora do momento do estádio vegetativo recomendado (média 37,75%). Ressalta-se que os resultados obtidos ocorreram em função dos déficits hídricos verificados nos verões de 2022 e 2023. </w:t>
      </w:r>
    </w:p>
    <w:p>
      <w:pPr>
        <w:pStyle w:val="Normal"/>
        <w:pBdr/>
        <w:jc w:val="both"/>
        <w:textAlignment w:val="baseline"/>
        <w:rPr>
          <w:rFonts w:ascii="Segoe UI" w:hAnsi="Segoe UI" w:eastAsia="Times New Roman" w:cs="Segoe UI"/>
          <w:sz w:val="18"/>
          <w:szCs w:val="18"/>
          <w:lang w:val="pt-BR" w:eastAsia="pt-BR"/>
        </w:rPr>
      </w:pPr>
      <w:r>
        <w:rPr>
          <w:rFonts w:eastAsia="Times New Roman" w:cs="Arial" w:ascii="Arial" w:hAnsi="Arial"/>
          <w:b/>
          <w:bCs/>
          <w:color w:val="000000"/>
          <w:sz w:val="20"/>
          <w:szCs w:val="20"/>
          <w:lang w:val="pt-BR" w:eastAsia="pt-BR"/>
        </w:rPr>
        <w:t>Tabela 1. Perfil fermentativo de silagens de milho utilizadas no noroeste gaúcho</w:t>
      </w:r>
      <w:r>
        <w:rPr>
          <w:rFonts w:eastAsia="Times New Roman" w:cs="Arial" w:ascii="Arial" w:hAnsi="Arial"/>
          <w:color w:val="000000"/>
          <w:sz w:val="20"/>
          <w:szCs w:val="20"/>
          <w:lang w:val="pt-BR" w:eastAsia="pt-BR"/>
        </w:rPr>
        <w:t>  </w:t>
      </w:r>
    </w:p>
    <w:tbl>
      <w:tblPr>
        <w:tblW w:w="9063" w:type="dxa"/>
        <w:jc w:val="center"/>
        <w:tblInd w:w="0" w:type="dxa"/>
        <w:tblLayout w:type="fixed"/>
        <w:tblCellMar>
          <w:top w:w="15" w:type="dxa"/>
          <w:left w:w="15" w:type="dxa"/>
          <w:bottom w:w="15" w:type="dxa"/>
          <w:right w:w="15" w:type="dxa"/>
        </w:tblCellMar>
        <w:tblLook w:firstRow="1" w:noVBand="1" w:lastRow="0" w:firstColumn="1" w:lastColumn="0" w:noHBand="0" w:val="04a0"/>
      </w:tblPr>
      <w:tblGrid>
        <w:gridCol w:w="2097"/>
        <w:gridCol w:w="469"/>
        <w:gridCol w:w="993"/>
        <w:gridCol w:w="851"/>
        <w:gridCol w:w="1133"/>
        <w:gridCol w:w="1260"/>
        <w:gridCol w:w="2259"/>
      </w:tblGrid>
      <w:tr>
        <w:trPr>
          <w:trHeight w:val="300" w:hRule="atLeast"/>
        </w:trPr>
        <w:tc>
          <w:tcPr>
            <w:tcW w:w="9062" w:type="dxa"/>
            <w:gridSpan w:val="7"/>
            <w:tcBorders>
              <w:top w:val="single" w:sz="6" w:space="0" w:color="7F7F7F"/>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b/>
                <w:bCs/>
                <w:color w:val="000000"/>
                <w:sz w:val="22"/>
                <w:szCs w:val="22"/>
                <w:lang w:val="pt-BR" w:eastAsia="pt-BR"/>
              </w:rPr>
              <w:t>PERFIL FERMENTATIVO</w:t>
            </w:r>
          </w:p>
        </w:tc>
      </w:tr>
      <w:tr>
        <w:trPr>
          <w:trHeight w:val="480" w:hRule="atLeast"/>
        </w:trPr>
        <w:tc>
          <w:tcPr>
            <w:tcW w:w="2097" w:type="dxa"/>
            <w:tcBorders>
              <w:top w:val="single" w:sz="6" w:space="0" w:color="7F7F7F"/>
            </w:tcBorders>
            <w:vAlign w:val="center"/>
          </w:tcPr>
          <w:p>
            <w:pPr>
              <w:pStyle w:val="Normal"/>
              <w:widowControl w:val="false"/>
              <w:pBdr/>
              <w:rPr>
                <w:rFonts w:eastAsia="Times New Roman"/>
                <w:lang w:val="pt-BR" w:eastAsia="pt-BR"/>
              </w:rPr>
            </w:pPr>
            <w:r>
              <w:rPr>
                <w:rFonts w:eastAsia="Times New Roman"/>
                <w:lang w:val="pt-BR" w:eastAsia="pt-BR"/>
              </w:rPr>
            </w:r>
          </w:p>
        </w:tc>
        <w:tc>
          <w:tcPr>
            <w:tcW w:w="469" w:type="dxa"/>
            <w:tcBorders>
              <w:top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b/>
                <w:bCs/>
                <w:color w:val="000000"/>
                <w:sz w:val="22"/>
                <w:szCs w:val="22"/>
                <w:lang w:val="pt-BR" w:eastAsia="pt-BR"/>
              </w:rPr>
              <w:t>N</w:t>
            </w:r>
          </w:p>
        </w:tc>
        <w:tc>
          <w:tcPr>
            <w:tcW w:w="993" w:type="dxa"/>
            <w:tcBorders>
              <w:top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b/>
                <w:bCs/>
                <w:color w:val="000000"/>
                <w:sz w:val="22"/>
                <w:szCs w:val="22"/>
                <w:lang w:val="pt-BR" w:eastAsia="pt-BR"/>
              </w:rPr>
              <w:t>MÍNIMO</w:t>
            </w:r>
          </w:p>
        </w:tc>
        <w:tc>
          <w:tcPr>
            <w:tcW w:w="851" w:type="dxa"/>
            <w:tcBorders>
              <w:top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b/>
                <w:bCs/>
                <w:color w:val="000000"/>
                <w:sz w:val="22"/>
                <w:szCs w:val="22"/>
                <w:lang w:val="pt-BR" w:eastAsia="pt-BR"/>
              </w:rPr>
              <w:t>MÉDIA</w:t>
            </w:r>
          </w:p>
        </w:tc>
        <w:tc>
          <w:tcPr>
            <w:tcW w:w="1133" w:type="dxa"/>
            <w:tcBorders>
              <w:top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b/>
                <w:bCs/>
                <w:color w:val="000000"/>
                <w:sz w:val="22"/>
                <w:szCs w:val="22"/>
                <w:lang w:val="pt-BR" w:eastAsia="pt-BR"/>
              </w:rPr>
              <w:t>MÁXIMO</w:t>
            </w:r>
          </w:p>
        </w:tc>
        <w:tc>
          <w:tcPr>
            <w:tcW w:w="1260" w:type="dxa"/>
            <w:tcBorders>
              <w:top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b/>
                <w:bCs/>
                <w:color w:val="000000"/>
                <w:sz w:val="22"/>
                <w:szCs w:val="22"/>
                <w:lang w:val="pt-BR" w:eastAsia="pt-BR"/>
              </w:rPr>
              <w:t>MEDIANA</w:t>
            </w:r>
          </w:p>
        </w:tc>
        <w:tc>
          <w:tcPr>
            <w:tcW w:w="2259" w:type="dxa"/>
            <w:tcBorders>
              <w:top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b/>
                <w:bCs/>
                <w:color w:val="000000"/>
                <w:sz w:val="22"/>
                <w:szCs w:val="22"/>
                <w:lang w:val="pt-BR" w:eastAsia="pt-BR"/>
              </w:rPr>
              <w:t>COEFICIENTE DE VARIAÇÃO</w:t>
            </w:r>
          </w:p>
        </w:tc>
      </w:tr>
      <w:tr>
        <w:trPr>
          <w:trHeight w:val="300" w:hRule="atLeast"/>
        </w:trPr>
        <w:tc>
          <w:tcPr>
            <w:tcW w:w="2097"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Matéria seca (%MN)</w:t>
            </w:r>
          </w:p>
        </w:tc>
        <w:tc>
          <w:tcPr>
            <w:tcW w:w="46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44</w:t>
            </w:r>
          </w:p>
        </w:tc>
        <w:tc>
          <w:tcPr>
            <w:tcW w:w="99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22,75</w:t>
            </w:r>
          </w:p>
        </w:tc>
        <w:tc>
          <w:tcPr>
            <w:tcW w:w="851"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37,75</w:t>
            </w:r>
          </w:p>
        </w:tc>
        <w:tc>
          <w:tcPr>
            <w:tcW w:w="113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49,64</w:t>
            </w:r>
          </w:p>
        </w:tc>
        <w:tc>
          <w:tcPr>
            <w:tcW w:w="1260"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37,72</w:t>
            </w:r>
          </w:p>
        </w:tc>
        <w:tc>
          <w:tcPr>
            <w:tcW w:w="225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16,38</w:t>
            </w:r>
          </w:p>
        </w:tc>
      </w:tr>
      <w:tr>
        <w:trPr>
          <w:trHeight w:val="300" w:hRule="atLeast"/>
        </w:trPr>
        <w:tc>
          <w:tcPr>
            <w:tcW w:w="2097"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pH</w:t>
            </w:r>
          </w:p>
        </w:tc>
        <w:tc>
          <w:tcPr>
            <w:tcW w:w="46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43</w:t>
            </w:r>
          </w:p>
        </w:tc>
        <w:tc>
          <w:tcPr>
            <w:tcW w:w="99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3,60</w:t>
            </w:r>
          </w:p>
        </w:tc>
        <w:tc>
          <w:tcPr>
            <w:tcW w:w="851"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3,91</w:t>
            </w:r>
          </w:p>
        </w:tc>
        <w:tc>
          <w:tcPr>
            <w:tcW w:w="113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4,18</w:t>
            </w:r>
          </w:p>
        </w:tc>
        <w:tc>
          <w:tcPr>
            <w:tcW w:w="1260"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3,91</w:t>
            </w:r>
          </w:p>
        </w:tc>
        <w:tc>
          <w:tcPr>
            <w:tcW w:w="225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3,47</w:t>
            </w:r>
          </w:p>
        </w:tc>
      </w:tr>
      <w:tr>
        <w:trPr>
          <w:trHeight w:val="300" w:hRule="atLeast"/>
        </w:trPr>
        <w:tc>
          <w:tcPr>
            <w:tcW w:w="2097"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Ácido láctico (%MS)</w:t>
            </w:r>
          </w:p>
        </w:tc>
        <w:tc>
          <w:tcPr>
            <w:tcW w:w="46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43</w:t>
            </w:r>
          </w:p>
        </w:tc>
        <w:tc>
          <w:tcPr>
            <w:tcW w:w="99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0,75</w:t>
            </w:r>
          </w:p>
        </w:tc>
        <w:tc>
          <w:tcPr>
            <w:tcW w:w="851"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3,47</w:t>
            </w:r>
          </w:p>
        </w:tc>
        <w:tc>
          <w:tcPr>
            <w:tcW w:w="113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7,90</w:t>
            </w:r>
          </w:p>
        </w:tc>
        <w:tc>
          <w:tcPr>
            <w:tcW w:w="1260"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3,20</w:t>
            </w:r>
          </w:p>
        </w:tc>
        <w:tc>
          <w:tcPr>
            <w:tcW w:w="225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42,77</w:t>
            </w:r>
          </w:p>
        </w:tc>
      </w:tr>
      <w:tr>
        <w:trPr>
          <w:trHeight w:val="300" w:hRule="atLeast"/>
        </w:trPr>
        <w:tc>
          <w:tcPr>
            <w:tcW w:w="2097"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Ácido acético (%MS)</w:t>
            </w:r>
          </w:p>
        </w:tc>
        <w:tc>
          <w:tcPr>
            <w:tcW w:w="46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43</w:t>
            </w:r>
          </w:p>
        </w:tc>
        <w:tc>
          <w:tcPr>
            <w:tcW w:w="99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0,54</w:t>
            </w:r>
          </w:p>
        </w:tc>
        <w:tc>
          <w:tcPr>
            <w:tcW w:w="851"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2,05</w:t>
            </w:r>
          </w:p>
        </w:tc>
        <w:tc>
          <w:tcPr>
            <w:tcW w:w="1133"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4,78</w:t>
            </w:r>
          </w:p>
        </w:tc>
        <w:tc>
          <w:tcPr>
            <w:tcW w:w="1260"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1,97</w:t>
            </w:r>
          </w:p>
        </w:tc>
        <w:tc>
          <w:tcPr>
            <w:tcW w:w="2259" w:type="dxa"/>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38,81</w:t>
            </w:r>
          </w:p>
        </w:tc>
      </w:tr>
      <w:tr>
        <w:trPr>
          <w:trHeight w:val="300" w:hRule="atLeast"/>
        </w:trPr>
        <w:tc>
          <w:tcPr>
            <w:tcW w:w="2097" w:type="dxa"/>
            <w:tcBorders>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Ácido butírico (%MS)</w:t>
            </w:r>
          </w:p>
        </w:tc>
        <w:tc>
          <w:tcPr>
            <w:tcW w:w="469" w:type="dxa"/>
            <w:tcBorders>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43</w:t>
            </w:r>
          </w:p>
        </w:tc>
        <w:tc>
          <w:tcPr>
            <w:tcW w:w="993" w:type="dxa"/>
            <w:tcBorders>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0,00</w:t>
            </w:r>
          </w:p>
        </w:tc>
        <w:tc>
          <w:tcPr>
            <w:tcW w:w="851" w:type="dxa"/>
            <w:tcBorders>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0,00</w:t>
            </w:r>
          </w:p>
        </w:tc>
        <w:tc>
          <w:tcPr>
            <w:tcW w:w="1133" w:type="dxa"/>
            <w:tcBorders>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0,00</w:t>
            </w:r>
          </w:p>
        </w:tc>
        <w:tc>
          <w:tcPr>
            <w:tcW w:w="1260" w:type="dxa"/>
            <w:tcBorders>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0,00</w:t>
            </w:r>
          </w:p>
        </w:tc>
        <w:tc>
          <w:tcPr>
            <w:tcW w:w="2259" w:type="dxa"/>
            <w:tcBorders>
              <w:bottom w:val="single" w:sz="6" w:space="0" w:color="7F7F7F"/>
            </w:tcBorders>
            <w:vAlign w:val="center"/>
          </w:tcPr>
          <w:p>
            <w:pPr>
              <w:pStyle w:val="Normal"/>
              <w:widowControl w:val="false"/>
              <w:pBdr/>
              <w:jc w:val="center"/>
              <w:rPr>
                <w:rFonts w:eastAsia="Times New Roman"/>
                <w:lang w:val="pt-BR" w:eastAsia="pt-BR"/>
              </w:rPr>
            </w:pPr>
            <w:r>
              <w:rPr>
                <w:rFonts w:eastAsia="Times New Roman" w:cs="Arial" w:ascii="Arial" w:hAnsi="Arial"/>
                <w:color w:val="000000"/>
                <w:sz w:val="22"/>
                <w:szCs w:val="22"/>
                <w:lang w:val="pt-BR" w:eastAsia="pt-BR"/>
              </w:rPr>
              <w:t>ND</w:t>
            </w:r>
          </w:p>
        </w:tc>
      </w:tr>
    </w:tbl>
    <w:p>
      <w:pPr>
        <w:pStyle w:val="Normal"/>
        <w:pBdr/>
        <w:spacing w:before="240" w:after="240"/>
        <w:jc w:val="both"/>
        <w:rPr>
          <w:rFonts w:eastAsia="Times New Roman"/>
          <w:lang w:val="pt-BR" w:eastAsia="pt-BR"/>
        </w:rPr>
      </w:pPr>
      <w:r>
        <w:rPr>
          <w:rFonts w:eastAsia="Times New Roman" w:cs="Arial" w:ascii="Arial" w:hAnsi="Arial"/>
          <w:color w:val="000000"/>
          <w:sz w:val="20"/>
          <w:szCs w:val="20"/>
          <w:lang w:val="pt-BR" w:eastAsia="pt-BR"/>
        </w:rPr>
        <w:t>MN= Matéria Natural; MS= Matéria Seca; ND= Não Determinado.</w:t>
      </w:r>
    </w:p>
    <w:p>
      <w:pPr>
        <w:pStyle w:val="Normal"/>
        <w:pBdr/>
        <w:spacing w:before="240" w:after="240"/>
        <w:jc w:val="both"/>
        <w:rPr>
          <w:rFonts w:eastAsia="Times New Roman"/>
          <w:lang w:val="pt-BR" w:eastAsia="pt-BR"/>
        </w:rPr>
      </w:pPr>
      <w:r>
        <w:rPr>
          <w:rFonts w:eastAsia="Times New Roman" w:cs="Arial" w:ascii="Arial" w:hAnsi="Arial"/>
          <w:b/>
          <w:bCs/>
          <w:color w:val="000000"/>
          <w:sz w:val="20"/>
          <w:szCs w:val="20"/>
          <w:lang w:val="pt-BR" w:eastAsia="pt-BR"/>
        </w:rPr>
        <w:t>Fonte: Dados ainda não publicados.</w:t>
      </w:r>
      <w:r>
        <w:rPr>
          <w:rFonts w:eastAsia="Times New Roman" w:cs="Arial" w:ascii="Arial" w:hAnsi="Arial"/>
          <w:color w:val="000000"/>
          <w:sz w:val="20"/>
          <w:szCs w:val="20"/>
          <w:lang w:val="pt-BR" w:eastAsia="pt-BR"/>
        </w:rPr>
        <w:t> </w:t>
      </w:r>
    </w:p>
    <w:p>
      <w:pPr>
        <w:pStyle w:val="Normal"/>
        <w:pBdr/>
        <w:ind w:firstLine="720"/>
        <w:jc w:val="both"/>
        <w:textAlignment w:val="baseline"/>
        <w:rPr>
          <w:rFonts w:ascii="Segoe UI" w:hAnsi="Segoe UI" w:eastAsia="Times New Roman" w:cs="Segoe UI"/>
          <w:sz w:val="18"/>
          <w:szCs w:val="18"/>
          <w:lang w:val="pt-BR" w:eastAsia="pt-BR"/>
        </w:rPr>
      </w:pPr>
      <w:r>
        <w:rPr>
          <w:rFonts w:eastAsia="Times New Roman" w:cs="Arial" w:ascii="Arial" w:hAnsi="Arial"/>
          <w:color w:val="000000"/>
          <w:sz w:val="22"/>
          <w:szCs w:val="22"/>
          <w:lang w:val="pt-BR" w:eastAsia="pt-BR"/>
        </w:rPr>
        <w:t>Comparando com o estudo de</w:t>
      </w:r>
      <w:r>
        <w:rPr>
          <w:rFonts w:eastAsia="Times New Roman" w:cs="Arial" w:ascii="Arial" w:hAnsi="Arial"/>
          <w:color w:val="00000A"/>
          <w:sz w:val="22"/>
          <w:szCs w:val="22"/>
          <w:lang w:val="pt-BR" w:eastAsia="pt-BR"/>
        </w:rPr>
        <w:t xml:space="preserve"> </w:t>
      </w:r>
      <w:r>
        <w:rPr>
          <w:rFonts w:eastAsia="Times New Roman" w:cs="Arial" w:ascii="Arial" w:hAnsi="Arial"/>
          <w:color w:val="000000"/>
          <w:sz w:val="22"/>
          <w:szCs w:val="22"/>
          <w:lang w:val="pt-BR" w:eastAsia="pt-BR"/>
        </w:rPr>
        <w:t>Saylor et al. (2021)</w:t>
      </w:r>
      <w:r>
        <w:rPr>
          <w:rFonts w:eastAsia="Times New Roman" w:cs="Arial" w:ascii="Arial" w:hAnsi="Arial"/>
          <w:color w:val="00000A"/>
          <w:sz w:val="22"/>
          <w:szCs w:val="22"/>
          <w:lang w:val="pt-BR" w:eastAsia="pt-BR"/>
        </w:rPr>
        <w:t xml:space="preserve">, realizado na Florida onde eles obtiveram um pH de 4,9, ácido láctico de 2,5%/MS e ácido </w:t>
      </w:r>
      <w:r>
        <w:rPr>
          <w:rFonts w:eastAsia="Times New Roman" w:cs="Arial" w:ascii="Arial" w:hAnsi="Arial"/>
          <w:color w:val="000000"/>
          <w:sz w:val="22"/>
          <w:szCs w:val="22"/>
          <w:lang w:val="pt-BR" w:eastAsia="pt-BR"/>
        </w:rPr>
        <w:t>acético de 0,7%/MS. As nossas silagens apresentaram o pH mais ácido, a concentração de ácido láctico foi 0,97% maior, assim como o ácido acético foi 1,34% maior que o estudo comparado, já o ácido butírico não foi avaliado no estudo comparado.</w:t>
      </w:r>
    </w:p>
    <w:p>
      <w:pPr>
        <w:pStyle w:val="Normal"/>
        <w:pBdr/>
        <w:ind w:firstLine="720"/>
        <w:jc w:val="both"/>
        <w:textAlignment w:val="baseline"/>
        <w:rPr>
          <w:rFonts w:ascii="Segoe UI" w:hAnsi="Segoe UI" w:eastAsia="Times New Roman" w:cs="Segoe UI"/>
          <w:sz w:val="18"/>
          <w:szCs w:val="18"/>
          <w:lang w:val="pt-BR" w:eastAsia="pt-BR"/>
        </w:rPr>
      </w:pPr>
      <w:r>
        <w:rPr>
          <w:rFonts w:eastAsia="Times New Roman" w:cs="Arial" w:ascii="Arial" w:hAnsi="Arial"/>
          <w:color w:val="000000"/>
          <w:sz w:val="22"/>
          <w:szCs w:val="22"/>
          <w:lang w:val="pt-BR" w:eastAsia="pt-BR"/>
        </w:rPr>
        <w:t>O pH em valores baixos é o resultado da produção de ácidos orgânicos através da fermentação de açucares solúveis pelas bactérias homoláticas (JOBIM; NUSSIO, 2014).</w:t>
      </w:r>
    </w:p>
    <w:p>
      <w:pPr>
        <w:pStyle w:val="Normal"/>
        <w:pBdr/>
        <w:ind w:firstLine="720"/>
        <w:jc w:val="both"/>
        <w:textAlignment w:val="baseline"/>
        <w:rPr>
          <w:rFonts w:ascii="Segoe UI" w:hAnsi="Segoe UI" w:eastAsia="Times New Roman" w:cs="Segoe UI"/>
          <w:sz w:val="18"/>
          <w:szCs w:val="18"/>
          <w:lang w:val="pt-BR" w:eastAsia="pt-BR"/>
        </w:rPr>
      </w:pPr>
      <w:r>
        <w:rPr>
          <w:rFonts w:eastAsia="Times New Roman" w:cs="Arial" w:ascii="Arial" w:hAnsi="Arial"/>
          <w:color w:val="000000"/>
          <w:sz w:val="22"/>
          <w:szCs w:val="22"/>
          <w:lang w:val="pt-BR" w:eastAsia="pt-BR"/>
        </w:rPr>
        <w:t>O ácido láctico é um ácido orgânico desejável que auxilia na conservação da forragem, uma vez que é produzido através da oxidação anaeróbia de carboidratos (JOBIM; NUSSIO, 2014).</w:t>
      </w:r>
    </w:p>
    <w:p>
      <w:pPr>
        <w:pStyle w:val="Normal"/>
        <w:pBdr/>
        <w:ind w:firstLine="720"/>
        <w:jc w:val="both"/>
        <w:textAlignment w:val="baseline"/>
        <w:rPr>
          <w:rFonts w:ascii="Segoe UI" w:hAnsi="Segoe UI" w:eastAsia="Times New Roman" w:cs="Segoe UI"/>
          <w:sz w:val="18"/>
          <w:szCs w:val="18"/>
          <w:lang w:val="pt-BR" w:eastAsia="pt-BR"/>
        </w:rPr>
      </w:pPr>
      <w:r>
        <w:rPr>
          <w:rFonts w:eastAsia="Times New Roman" w:cs="Arial" w:ascii="Arial" w:hAnsi="Arial"/>
          <w:color w:val="000000"/>
          <w:sz w:val="22"/>
          <w:szCs w:val="22"/>
          <w:lang w:val="pt-BR" w:eastAsia="pt-BR"/>
        </w:rPr>
        <w:t>Já o ácido acético também é um ácido orgânico desejado no processo fermentativo uma vez que é um importante melhorador da estabilidade aeróbia das silagens (FERRERO et al., 2019; FERRERO; TABACCO; BORREANI, 2021).</w:t>
      </w:r>
    </w:p>
    <w:p>
      <w:pPr>
        <w:pStyle w:val="Normal"/>
        <w:pBdr/>
        <w:ind w:firstLine="720"/>
        <w:jc w:val="both"/>
        <w:textAlignment w:val="baseline"/>
        <w:rPr>
          <w:rFonts w:ascii="Segoe UI" w:hAnsi="Segoe UI" w:eastAsia="Times New Roman" w:cs="Segoe UI"/>
          <w:sz w:val="18"/>
          <w:szCs w:val="18"/>
          <w:lang w:val="pt-BR" w:eastAsia="pt-BR"/>
        </w:rPr>
      </w:pPr>
      <w:r>
        <w:rPr>
          <w:rFonts w:eastAsia="Times New Roman" w:cs="Arial" w:ascii="Arial" w:hAnsi="Arial"/>
          <w:color w:val="000000"/>
          <w:sz w:val="22"/>
          <w:szCs w:val="22"/>
          <w:lang w:val="pt-BR" w:eastAsia="pt-BR"/>
        </w:rPr>
        <w:t xml:space="preserve">A acidificação do meio é de suma importância para o controle de fermentações indesejáveis, como a presença das bactérias do gênero </w:t>
      </w:r>
      <w:r>
        <w:rPr>
          <w:rFonts w:eastAsia="Times New Roman" w:cs="Arial" w:ascii="Arial" w:hAnsi="Arial"/>
          <w:i/>
          <w:iCs/>
          <w:color w:val="000000"/>
          <w:sz w:val="22"/>
          <w:szCs w:val="22"/>
          <w:lang w:val="pt-BR" w:eastAsia="pt-BR"/>
        </w:rPr>
        <w:t xml:space="preserve">Clostridium, </w:t>
      </w:r>
      <w:r>
        <w:rPr>
          <w:rFonts w:eastAsia="Times New Roman" w:cs="Arial" w:ascii="Arial" w:hAnsi="Arial"/>
          <w:color w:val="000000"/>
          <w:sz w:val="22"/>
          <w:szCs w:val="22"/>
          <w:lang w:val="pt-BR" w:eastAsia="pt-BR"/>
        </w:rPr>
        <w:t>conhecidas pela fermentação butírica que elevam as perdas de matéria seca possuindo como produto final o ácido butírico que é fraco para a conservação da forragem (McDONALD; HENDERSON; HERON, 1991).</w:t>
      </w:r>
    </w:p>
    <w:p>
      <w:pPr>
        <w:pStyle w:val="Normal"/>
        <w:pBdr/>
        <w:ind w:firstLine="720"/>
        <w:jc w:val="both"/>
        <w:textAlignment w:val="baseline"/>
        <w:rPr>
          <w:rFonts w:ascii="Segoe UI" w:hAnsi="Segoe UI" w:eastAsia="Times New Roman" w:cs="Segoe UI"/>
          <w:sz w:val="18"/>
          <w:szCs w:val="18"/>
          <w:lang w:val="pt-BR" w:eastAsia="pt-BR"/>
        </w:rPr>
      </w:pPr>
      <w:r>
        <w:rPr>
          <w:rFonts w:eastAsia="Times New Roman" w:cs="Arial" w:ascii="Arial" w:hAnsi="Arial"/>
          <w:color w:val="000000"/>
          <w:sz w:val="22"/>
          <w:szCs w:val="22"/>
          <w:lang w:val="pt-BR" w:eastAsia="pt-BR"/>
        </w:rPr>
        <w:t xml:space="preserve">A qualidade da fermentação pode ser classificada através do perfil fermentativo apresentado pela silagem, além disso, o perfil fermentativo pode indicar se a silagem terá condição de apresentar estabilidade aeróbia, ou seja, se a silagem resiste ao ambiente com presença de oxigênio apresentando baixa taxa de deterioração durante o período de alimentação, sendo possível mensurar esta deterioração por meio do aumento da temperatura da massa.  Quando uma silagem possui baixa estabilidade aeróbia a sua deterioração é rápida, o que possibilita danos à saúde e ao desempenho do animal com ela alimentado </w:t>
      </w:r>
      <w:r>
        <w:rPr>
          <w:rFonts w:eastAsia="Times New Roman"/>
          <w:lang w:val="pt-BR" w:eastAsia="pt-BR"/>
        </w:rPr>
        <w:t>​</w:t>
      </w:r>
      <w:r>
        <w:rPr>
          <w:rFonts w:eastAsia="Times New Roman" w:cs="Arial" w:ascii="Arial" w:hAnsi="Arial"/>
          <w:color w:val="000000"/>
          <w:sz w:val="22"/>
          <w:szCs w:val="22"/>
          <w:lang w:val="pt-BR" w:eastAsia="pt-BR"/>
        </w:rPr>
        <w:t>(PITT; LIU; MUCK, 1991)</w:t>
      </w:r>
      <w:r>
        <w:rPr>
          <w:rFonts w:eastAsia="Times New Roman"/>
          <w:lang w:val="pt-BR" w:eastAsia="pt-BR"/>
        </w:rPr>
        <w:t>​.   </w:t>
      </w:r>
    </w:p>
    <w:p>
      <w:pPr>
        <w:pStyle w:val="LOnormal"/>
        <w:jc w:val="both"/>
        <w:rPr>
          <w:rFonts w:ascii="Arial" w:hAnsi="Arial" w:cs="Arial"/>
          <w:b/>
          <w:b/>
          <w:bCs/>
          <w:color w:val="000000"/>
          <w:sz w:val="22"/>
          <w:szCs w:val="22"/>
          <w:u w:val="none" w:color="000000"/>
          <w:lang w:val="pt-BR"/>
        </w:rPr>
      </w:pPr>
      <w:r>
        <w:rPr>
          <w:rFonts w:cs="Arial" w:ascii="Arial" w:hAnsi="Arial"/>
          <w:b/>
          <w:bCs/>
          <w:color w:val="000000"/>
          <w:sz w:val="22"/>
          <w:szCs w:val="22"/>
          <w:u w:val="none" w:color="000000"/>
          <w:lang w:val="pt-BR"/>
        </w:rPr>
      </w:r>
    </w:p>
    <w:p>
      <w:pPr>
        <w:pStyle w:val="LOnormal"/>
        <w:jc w:val="both"/>
        <w:rPr>
          <w:rStyle w:val="Normaltextrun"/>
          <w:rFonts w:ascii="Arial" w:hAnsi="Arial" w:cs="Arial"/>
          <w:color w:val="000000"/>
          <w:sz w:val="22"/>
          <w:szCs w:val="22"/>
          <w:shd w:fill="FFFFFF" w:val="clear"/>
          <w:lang w:val="pt-BR"/>
        </w:rPr>
      </w:pPr>
      <w:r>
        <w:rPr>
          <w:rFonts w:cs="Arial" w:ascii="Arial" w:hAnsi="Arial"/>
          <w:b/>
          <w:bCs/>
          <w:color w:val="000000"/>
          <w:sz w:val="22"/>
          <w:szCs w:val="22"/>
          <w:u w:val="none" w:color="000000"/>
          <w:lang w:val="pt-BR"/>
        </w:rPr>
        <w:t>Conclusão</w:t>
      </w:r>
      <w:r>
        <w:rPr>
          <w:rFonts w:cs="Arial" w:ascii="Arial" w:hAnsi="Arial"/>
          <w:color w:val="000000"/>
          <w:sz w:val="22"/>
          <w:szCs w:val="22"/>
          <w:u w:val="none" w:color="000000"/>
          <w:lang w:val="pt-BR"/>
        </w:rPr>
        <w:t xml:space="preserve">: </w:t>
      </w:r>
      <w:r>
        <w:rPr>
          <w:rStyle w:val="Normaltextrun"/>
          <w:rFonts w:cs="Arial" w:ascii="Arial" w:hAnsi="Arial"/>
          <w:color w:val="000000"/>
          <w:sz w:val="22"/>
          <w:szCs w:val="22"/>
          <w:lang w:val="pt-BR"/>
        </w:rPr>
        <w:t>As silagens utilizadas na região noroeste do Rio Grande do Sul apresentam perfil fermentativo condizente para proporcionar estabilidade aeróbia no curto espaço de tempo.</w:t>
      </w:r>
      <w:r>
        <w:rPr>
          <w:rStyle w:val="Normaltextrun"/>
          <w:rFonts w:cs="Arial" w:ascii="Arial" w:hAnsi="Arial"/>
          <w:color w:val="000000"/>
          <w:sz w:val="22"/>
          <w:szCs w:val="22"/>
          <w:shd w:fill="FFFFFF" w:val="clear"/>
          <w:lang w:val="pt-BR"/>
        </w:rPr>
        <w:t xml:space="preserve"> </w:t>
      </w:r>
    </w:p>
    <w:p>
      <w:pPr>
        <w:pStyle w:val="LOnormal"/>
        <w:jc w:val="both"/>
        <w:rPr>
          <w:rFonts w:ascii="Arial" w:hAnsi="Arial" w:cs="Arial"/>
          <w:color w:val="000000"/>
          <w:sz w:val="22"/>
          <w:szCs w:val="22"/>
          <w:shd w:fill="FFFFFF" w:val="clear"/>
          <w:lang w:val="pt-BR"/>
        </w:rPr>
      </w:pPr>
      <w:r>
        <w:rPr>
          <w:rFonts w:cs="Arial" w:ascii="Arial" w:hAnsi="Arial"/>
          <w:color w:val="000000"/>
          <w:sz w:val="22"/>
          <w:szCs w:val="22"/>
          <w:shd w:fill="FFFFFF" w:val="clear"/>
          <w:lang w:val="pt-BR"/>
        </w:rPr>
      </w:r>
    </w:p>
    <w:p>
      <w:pPr>
        <w:pStyle w:val="Paragraph"/>
        <w:spacing w:beforeAutospacing="0" w:before="0" w:afterAutospacing="0" w:after="0"/>
        <w:jc w:val="both"/>
        <w:textAlignment w:val="baseline"/>
        <w:rPr>
          <w:rFonts w:ascii="Arial" w:hAnsi="Arial" w:cs="Arial"/>
          <w:color w:val="00000A"/>
          <w:sz w:val="22"/>
          <w:szCs w:val="22"/>
        </w:rPr>
      </w:pPr>
      <w:r>
        <w:rPr>
          <w:rFonts w:cs="Arial" w:ascii="Arial" w:hAnsi="Arial"/>
          <w:b/>
          <w:bCs/>
          <w:color w:val="000000"/>
          <w:sz w:val="22"/>
          <w:szCs w:val="22"/>
          <w:u w:val="none" w:color="000000"/>
        </w:rPr>
        <w:t xml:space="preserve">Agradecimento: </w:t>
      </w:r>
      <w:r>
        <w:rPr>
          <w:rStyle w:val="Normaltextrun"/>
          <w:rFonts w:cs="Arial" w:ascii="Arial" w:hAnsi="Arial"/>
          <w:color w:val="000000"/>
          <w:sz w:val="22"/>
          <w:szCs w:val="22"/>
        </w:rPr>
        <w:t>Agradecemos a empresa Agrotech Soluções Agrícolas pela disponibilidade dos dados.</w:t>
      </w:r>
    </w:p>
    <w:p>
      <w:pPr>
        <w:pStyle w:val="Normal"/>
        <w:rPr>
          <w:rFonts w:ascii="Arial" w:hAnsi="Arial" w:eastAsia="Times New Roman" w:cs="Arial"/>
          <w:color w:val="00000A"/>
          <w:sz w:val="22"/>
          <w:szCs w:val="22"/>
          <w:lang w:val="pt-BR" w:eastAsia="pt-BR"/>
        </w:rPr>
      </w:pPr>
      <w:r>
        <w:rPr>
          <w:rFonts w:eastAsia="Times New Roman" w:cs="Arial" w:ascii="Arial" w:hAnsi="Arial"/>
          <w:color w:val="00000A"/>
          <w:sz w:val="22"/>
          <w:szCs w:val="22"/>
          <w:lang w:val="pt-BR" w:eastAsia="pt-BR"/>
        </w:rPr>
      </w:r>
      <w:r>
        <w:br w:type="page"/>
      </w:r>
    </w:p>
    <w:p>
      <w:pPr>
        <w:pStyle w:val="LOnormal"/>
        <w:jc w:val="both"/>
        <w:rPr>
          <w:rFonts w:ascii="Arial" w:hAnsi="Arial" w:cs="Arial"/>
          <w:b/>
          <w:b/>
          <w:bCs/>
          <w:color w:val="000000"/>
          <w:sz w:val="22"/>
          <w:szCs w:val="22"/>
          <w:u w:val="none" w:color="000000"/>
        </w:rPr>
      </w:pPr>
      <w:r>
        <w:rPr>
          <w:rFonts w:cs="Arial" w:ascii="Arial" w:hAnsi="Arial"/>
          <w:b/>
          <w:bCs/>
          <w:color w:val="000000"/>
          <w:sz w:val="22"/>
          <w:szCs w:val="22"/>
          <w:u w:val="none" w:color="000000"/>
        </w:rPr>
        <w:t>Referências:</w:t>
      </w:r>
    </w:p>
    <w:p>
      <w:pPr>
        <w:pStyle w:val="LOnormal"/>
        <w:jc w:val="both"/>
        <w:rPr>
          <w:rStyle w:val="Eop"/>
          <w:rFonts w:ascii="Arial" w:hAnsi="Arial" w:cs="Arial"/>
          <w:b/>
          <w:b/>
          <w:bCs/>
          <w:color w:val="000000"/>
          <w:sz w:val="22"/>
          <w:szCs w:val="22"/>
          <w:u w:val="none" w:color="000000"/>
        </w:rPr>
      </w:pPr>
      <w:r>
        <w:rPr>
          <w:rStyle w:val="Normaltextrun"/>
          <w:rFonts w:cs="Arial" w:ascii="Arial" w:hAnsi="Arial"/>
          <w:sz w:val="22"/>
          <w:szCs w:val="22"/>
        </w:rPr>
        <w:t xml:space="preserve">FERRARETTO, L. F.; SHAVER, R. D.; LUCK, B. D. Silage review: Recent advances and future technologies for whole-plant and fractionated corn silage harvesting. </w:t>
      </w:r>
      <w:r>
        <w:rPr>
          <w:rStyle w:val="Normaltextrun"/>
          <w:rFonts w:cs="Arial" w:ascii="Arial" w:hAnsi="Arial"/>
          <w:bCs/>
          <w:sz w:val="22"/>
          <w:szCs w:val="22"/>
        </w:rPr>
        <w:t>Journal of Dairy Science</w:t>
      </w:r>
      <w:r>
        <w:rPr>
          <w:rStyle w:val="Normaltextrun"/>
          <w:rFonts w:cs="Arial" w:ascii="Arial" w:hAnsi="Arial"/>
          <w:sz w:val="22"/>
          <w:szCs w:val="22"/>
        </w:rPr>
        <w:t xml:space="preserve">, v. 101, n. 5, p. 3937–3951, 1 maio 2018. </w:t>
      </w:r>
      <w:r>
        <w:rPr>
          <w:rStyle w:val="Eop"/>
          <w:rFonts w:cs="Arial" w:ascii="Arial" w:hAnsi="Arial"/>
          <w:sz w:val="22"/>
          <w:szCs w:val="22"/>
        </w:rPr>
        <w:t> </w:t>
      </w:r>
    </w:p>
    <w:p>
      <w:pPr>
        <w:pStyle w:val="Paragraph"/>
        <w:spacing w:beforeAutospacing="0" w:before="0" w:afterAutospacing="0" w:after="0"/>
        <w:textAlignment w:val="baseline"/>
        <w:rPr>
          <w:rFonts w:ascii="Arial" w:hAnsi="Arial" w:cs="Arial"/>
          <w:sz w:val="22"/>
          <w:szCs w:val="22"/>
          <w:lang w:val="en-US"/>
        </w:rPr>
      </w:pPr>
      <w:r>
        <w:rPr>
          <w:rFonts w:cs="Arial" w:ascii="Arial" w:hAnsi="Arial"/>
          <w:sz w:val="22"/>
          <w:szCs w:val="22"/>
          <w:lang w:val="en-US"/>
        </w:rPr>
      </w:r>
    </w:p>
    <w:p>
      <w:pPr>
        <w:pStyle w:val="Paragraph"/>
        <w:spacing w:beforeAutospacing="0" w:before="0" w:afterAutospacing="0" w:after="0"/>
        <w:textAlignment w:val="baseline"/>
        <w:rPr>
          <w:rStyle w:val="Eop"/>
          <w:rFonts w:ascii="Arial" w:hAnsi="Arial" w:cs="Arial"/>
          <w:sz w:val="22"/>
          <w:szCs w:val="22"/>
          <w:lang w:val="en-US"/>
        </w:rPr>
      </w:pPr>
      <w:r>
        <w:rPr>
          <w:rStyle w:val="Normaltextrun"/>
          <w:rFonts w:cs="Arial" w:ascii="Arial" w:hAnsi="Arial"/>
          <w:sz w:val="22"/>
          <w:szCs w:val="22"/>
          <w:lang w:val="en-US"/>
        </w:rPr>
        <w:t xml:space="preserve">FERRERO, F. et al. Effects of conservation period and Lactobacillus hilgardii inoculum on the fermentation profile and aerobic stability of whole corn and sorghum silages. </w:t>
      </w:r>
      <w:r>
        <w:rPr>
          <w:rStyle w:val="Normaltextrun"/>
          <w:rFonts w:cs="Arial" w:ascii="Arial" w:hAnsi="Arial"/>
          <w:bCs/>
          <w:sz w:val="22"/>
          <w:szCs w:val="22"/>
          <w:lang w:val="en-US"/>
        </w:rPr>
        <w:t>Journal of the Science of Food and Agriculture</w:t>
      </w:r>
      <w:r>
        <w:rPr>
          <w:rStyle w:val="Normaltextrun"/>
          <w:rFonts w:cs="Arial" w:ascii="Arial" w:hAnsi="Arial"/>
          <w:sz w:val="22"/>
          <w:szCs w:val="22"/>
          <w:lang w:val="en-US"/>
        </w:rPr>
        <w:t xml:space="preserve">, v. 99, n. 5, p. 2530–2540, 30 mar. 2019. </w:t>
      </w:r>
      <w:r>
        <w:rPr>
          <w:rStyle w:val="Eop"/>
          <w:rFonts w:cs="Arial" w:ascii="Arial" w:hAnsi="Arial"/>
          <w:sz w:val="22"/>
          <w:szCs w:val="22"/>
          <w:lang w:val="en-US"/>
        </w:rPr>
        <w:t> </w:t>
      </w:r>
    </w:p>
    <w:p>
      <w:pPr>
        <w:pStyle w:val="Paragraph"/>
        <w:spacing w:beforeAutospacing="0" w:before="0" w:afterAutospacing="0" w:after="0"/>
        <w:textAlignment w:val="baseline"/>
        <w:rPr>
          <w:rFonts w:ascii="Arial" w:hAnsi="Arial" w:cs="Arial"/>
          <w:sz w:val="22"/>
          <w:szCs w:val="22"/>
          <w:lang w:val="en-US"/>
        </w:rPr>
      </w:pPr>
      <w:r>
        <w:rPr>
          <w:rFonts w:cs="Arial" w:ascii="Arial" w:hAnsi="Arial"/>
          <w:sz w:val="22"/>
          <w:szCs w:val="22"/>
          <w:lang w:val="en-US"/>
        </w:rPr>
      </w:r>
    </w:p>
    <w:p>
      <w:pPr>
        <w:pStyle w:val="Paragraph"/>
        <w:spacing w:beforeAutospacing="0" w:before="0" w:afterAutospacing="0" w:after="0"/>
        <w:textAlignment w:val="baseline"/>
        <w:rPr>
          <w:rStyle w:val="Eop"/>
          <w:rFonts w:ascii="Arial" w:hAnsi="Arial" w:cs="Arial"/>
          <w:sz w:val="22"/>
          <w:szCs w:val="22"/>
          <w:lang w:val="en-US"/>
        </w:rPr>
      </w:pPr>
      <w:r>
        <w:rPr>
          <w:rStyle w:val="Normaltextrun"/>
          <w:rFonts w:cs="Arial" w:ascii="Arial" w:hAnsi="Arial"/>
          <w:sz w:val="22"/>
          <w:szCs w:val="22"/>
          <w:lang w:val="en-US"/>
        </w:rPr>
        <w:t xml:space="preserve">FERRERO, F.; TABACCO, E.; BORREANI, G. Lentilactobacillus hilgardii Inoculum, Dry Matter Contents at Harvest and Length of Conservation Affect Fermentation Characteristics and Aerobic Stability of Corn Silage. </w:t>
      </w:r>
      <w:r>
        <w:rPr>
          <w:rStyle w:val="Normaltextrun"/>
          <w:rFonts w:cs="Arial" w:ascii="Arial" w:hAnsi="Arial"/>
          <w:bCs/>
          <w:sz w:val="22"/>
          <w:szCs w:val="22"/>
          <w:lang w:val="en-US"/>
        </w:rPr>
        <w:t>Frontiers in Microbiology</w:t>
      </w:r>
      <w:r>
        <w:rPr>
          <w:rStyle w:val="Normaltextrun"/>
          <w:rFonts w:cs="Arial" w:ascii="Arial" w:hAnsi="Arial"/>
          <w:sz w:val="22"/>
          <w:szCs w:val="22"/>
          <w:lang w:val="en-US"/>
        </w:rPr>
        <w:t xml:space="preserve">, v. 12, p. 675563, 2 jun. 2021. </w:t>
      </w:r>
      <w:r>
        <w:rPr>
          <w:rStyle w:val="Eop"/>
          <w:rFonts w:cs="Arial" w:ascii="Arial" w:hAnsi="Arial"/>
          <w:sz w:val="22"/>
          <w:szCs w:val="22"/>
          <w:lang w:val="en-US"/>
        </w:rPr>
        <w:t> </w:t>
      </w:r>
    </w:p>
    <w:p>
      <w:pPr>
        <w:pStyle w:val="Paragraph"/>
        <w:spacing w:beforeAutospacing="0" w:before="0" w:afterAutospacing="0" w:after="0"/>
        <w:textAlignment w:val="baseline"/>
        <w:rPr>
          <w:rFonts w:ascii="Arial" w:hAnsi="Arial" w:cs="Arial"/>
          <w:sz w:val="22"/>
          <w:szCs w:val="22"/>
          <w:lang w:val="en-US"/>
        </w:rPr>
      </w:pPr>
      <w:r>
        <w:rPr>
          <w:rFonts w:cs="Arial" w:ascii="Arial" w:hAnsi="Arial"/>
          <w:sz w:val="22"/>
          <w:szCs w:val="22"/>
          <w:lang w:val="en-US"/>
        </w:rPr>
      </w:r>
    </w:p>
    <w:p>
      <w:pPr>
        <w:pStyle w:val="Paragraph"/>
        <w:spacing w:beforeAutospacing="0" w:before="0" w:afterAutospacing="0" w:after="0"/>
        <w:textAlignment w:val="baseline"/>
        <w:rPr>
          <w:rStyle w:val="Eop"/>
          <w:rFonts w:ascii="Arial" w:hAnsi="Arial" w:cs="Arial"/>
          <w:sz w:val="22"/>
          <w:szCs w:val="22"/>
          <w:lang w:val="en-US"/>
        </w:rPr>
      </w:pPr>
      <w:r>
        <w:rPr>
          <w:rStyle w:val="Normaltextrun"/>
          <w:rFonts w:cs="Arial" w:ascii="Arial" w:hAnsi="Arial"/>
          <w:sz w:val="22"/>
          <w:szCs w:val="22"/>
        </w:rPr>
        <w:t xml:space="preserve">JOBIM, C.; NUSSIO, L. Princípios Básicos da Fermentação da Ensilagem. Em: </w:t>
      </w:r>
      <w:r>
        <w:rPr>
          <w:rStyle w:val="Normaltextrun"/>
          <w:rFonts w:cs="Arial" w:ascii="Arial" w:hAnsi="Arial"/>
          <w:bCs/>
          <w:sz w:val="22"/>
          <w:szCs w:val="22"/>
        </w:rPr>
        <w:t>Forragicultura - Ciência, tecnologia e gestão dos recursos forrageiros</w:t>
      </w:r>
      <w:r>
        <w:rPr>
          <w:rStyle w:val="Normaltextrun"/>
          <w:rFonts w:cs="Arial" w:ascii="Arial" w:hAnsi="Arial"/>
          <w:sz w:val="22"/>
          <w:szCs w:val="22"/>
        </w:rPr>
        <w:t xml:space="preserve">. 1. ed. </w:t>
      </w:r>
      <w:r>
        <w:rPr>
          <w:rStyle w:val="Normaltextrun"/>
          <w:rFonts w:cs="Arial" w:ascii="Arial" w:hAnsi="Arial"/>
          <w:sz w:val="22"/>
          <w:szCs w:val="22"/>
          <w:lang w:val="en-US"/>
        </w:rPr>
        <w:t xml:space="preserve">[s.l.] Funep, 2014. p. 649–658. </w:t>
      </w:r>
      <w:r>
        <w:rPr>
          <w:rStyle w:val="Eop"/>
          <w:rFonts w:cs="Arial" w:ascii="Arial" w:hAnsi="Arial"/>
          <w:sz w:val="22"/>
          <w:szCs w:val="22"/>
          <w:lang w:val="en-US"/>
        </w:rPr>
        <w:t> </w:t>
      </w:r>
    </w:p>
    <w:p>
      <w:pPr>
        <w:pStyle w:val="Paragraph"/>
        <w:spacing w:beforeAutospacing="0" w:before="0" w:afterAutospacing="0" w:after="0"/>
        <w:textAlignment w:val="baseline"/>
        <w:rPr>
          <w:rFonts w:ascii="Arial" w:hAnsi="Arial" w:cs="Arial"/>
          <w:sz w:val="22"/>
          <w:szCs w:val="22"/>
          <w:lang w:val="en-US"/>
        </w:rPr>
      </w:pPr>
      <w:r>
        <w:rPr>
          <w:rFonts w:cs="Arial" w:ascii="Arial" w:hAnsi="Arial"/>
          <w:sz w:val="22"/>
          <w:szCs w:val="22"/>
          <w:lang w:val="en-US"/>
        </w:rPr>
      </w:r>
    </w:p>
    <w:p>
      <w:pPr>
        <w:pStyle w:val="Paragraph"/>
        <w:spacing w:beforeAutospacing="0" w:before="0" w:afterAutospacing="0" w:after="0"/>
        <w:textAlignment w:val="baseline"/>
        <w:rPr>
          <w:rStyle w:val="Eop"/>
          <w:rFonts w:ascii="Arial" w:hAnsi="Arial" w:cs="Arial"/>
          <w:sz w:val="22"/>
          <w:szCs w:val="22"/>
          <w:lang w:val="en-US"/>
        </w:rPr>
      </w:pPr>
      <w:r>
        <w:rPr>
          <w:rStyle w:val="Normaltextrun"/>
          <w:rFonts w:cs="Arial" w:ascii="Arial" w:hAnsi="Arial"/>
          <w:sz w:val="22"/>
          <w:szCs w:val="22"/>
          <w:lang w:val="en-US"/>
        </w:rPr>
        <w:t xml:space="preserve">KUNG, L. et al. Silage review: Interpretation of chemical, microbial, and organoleptic components of silages. </w:t>
      </w:r>
      <w:r>
        <w:rPr>
          <w:rStyle w:val="Normaltextrun"/>
          <w:rFonts w:cs="Arial" w:ascii="Arial" w:hAnsi="Arial"/>
          <w:bCs/>
          <w:sz w:val="22"/>
          <w:szCs w:val="22"/>
          <w:lang w:val="en-US"/>
        </w:rPr>
        <w:t>Journal of Dairy Science</w:t>
      </w:r>
      <w:r>
        <w:rPr>
          <w:rStyle w:val="Normaltextrun"/>
          <w:rFonts w:cs="Arial" w:ascii="Arial" w:hAnsi="Arial"/>
          <w:sz w:val="22"/>
          <w:szCs w:val="22"/>
          <w:lang w:val="en-US"/>
        </w:rPr>
        <w:t xml:space="preserve">, v. 101, n. 5, p. 4020–4033, 1 maio 2018. </w:t>
      </w:r>
      <w:r>
        <w:rPr>
          <w:rStyle w:val="Eop"/>
          <w:rFonts w:cs="Arial" w:ascii="Arial" w:hAnsi="Arial"/>
          <w:sz w:val="22"/>
          <w:szCs w:val="22"/>
          <w:lang w:val="en-US"/>
        </w:rPr>
        <w:t> </w:t>
      </w:r>
    </w:p>
    <w:p>
      <w:pPr>
        <w:pStyle w:val="Paragraph"/>
        <w:spacing w:beforeAutospacing="0" w:before="0" w:afterAutospacing="0" w:after="0"/>
        <w:textAlignment w:val="baseline"/>
        <w:rPr>
          <w:rFonts w:ascii="Arial" w:hAnsi="Arial" w:cs="Arial"/>
          <w:sz w:val="22"/>
          <w:szCs w:val="22"/>
          <w:lang w:val="en-US"/>
        </w:rPr>
      </w:pPr>
      <w:r>
        <w:rPr>
          <w:rFonts w:cs="Arial" w:ascii="Arial" w:hAnsi="Arial"/>
          <w:sz w:val="22"/>
          <w:szCs w:val="22"/>
          <w:lang w:val="en-US"/>
        </w:rPr>
      </w:r>
    </w:p>
    <w:p>
      <w:pPr>
        <w:pStyle w:val="Paragraph"/>
        <w:spacing w:beforeAutospacing="0" w:before="0" w:afterAutospacing="0" w:after="0"/>
        <w:textAlignment w:val="baseline"/>
        <w:rPr>
          <w:rStyle w:val="Eop"/>
          <w:rFonts w:ascii="Arial" w:hAnsi="Arial" w:cs="Arial"/>
          <w:sz w:val="22"/>
          <w:szCs w:val="22"/>
          <w:lang w:val="en-US"/>
        </w:rPr>
      </w:pPr>
      <w:r>
        <w:rPr>
          <w:rStyle w:val="Normaltextrun"/>
          <w:rFonts w:cs="Arial" w:ascii="Arial" w:hAnsi="Arial"/>
          <w:sz w:val="22"/>
          <w:szCs w:val="22"/>
          <w:lang w:val="en-US"/>
        </w:rPr>
        <w:t xml:space="preserve">MCDONALD, P; HENDERSON, A. R.; HERON, S. J. E. </w:t>
      </w:r>
      <w:r>
        <w:rPr>
          <w:rStyle w:val="Normaltextrun"/>
          <w:rFonts w:cs="Arial" w:ascii="Arial" w:hAnsi="Arial"/>
          <w:bCs/>
          <w:sz w:val="22"/>
          <w:szCs w:val="22"/>
          <w:lang w:val="en-US"/>
        </w:rPr>
        <w:t>The Biochemistry of Silage</w:t>
      </w:r>
      <w:r>
        <w:rPr>
          <w:rStyle w:val="Normaltextrun"/>
          <w:rFonts w:cs="Arial" w:ascii="Arial" w:hAnsi="Arial"/>
          <w:sz w:val="22"/>
          <w:szCs w:val="22"/>
          <w:lang w:val="en-US"/>
        </w:rPr>
        <w:t xml:space="preserve">. 2. ed. Grã-Bretanha: Chalcombe, 1991. </w:t>
      </w:r>
      <w:r>
        <w:rPr>
          <w:rStyle w:val="Eop"/>
          <w:rFonts w:cs="Arial" w:ascii="Arial" w:hAnsi="Arial"/>
          <w:sz w:val="22"/>
          <w:szCs w:val="22"/>
          <w:lang w:val="en-US"/>
        </w:rPr>
        <w:t> </w:t>
      </w:r>
    </w:p>
    <w:p>
      <w:pPr>
        <w:pStyle w:val="Paragraph"/>
        <w:spacing w:beforeAutospacing="0" w:before="0" w:afterAutospacing="0" w:after="0"/>
        <w:textAlignment w:val="baseline"/>
        <w:rPr>
          <w:rStyle w:val="Eop"/>
          <w:rFonts w:ascii="Arial" w:hAnsi="Arial" w:cs="Arial"/>
          <w:sz w:val="22"/>
          <w:szCs w:val="22"/>
          <w:lang w:val="en-US"/>
        </w:rPr>
      </w:pPr>
      <w:r>
        <w:rPr>
          <w:rFonts w:cs="Arial" w:ascii="Arial" w:hAnsi="Arial"/>
          <w:sz w:val="22"/>
          <w:szCs w:val="22"/>
          <w:lang w:val="en-US"/>
        </w:rPr>
      </w:r>
    </w:p>
    <w:p>
      <w:pPr>
        <w:pStyle w:val="Paragraph"/>
        <w:spacing w:beforeAutospacing="0" w:before="0" w:afterAutospacing="0" w:after="0"/>
        <w:textAlignment w:val="baseline"/>
        <w:rPr>
          <w:rStyle w:val="Eop"/>
          <w:rFonts w:ascii="Arial" w:hAnsi="Arial" w:cs="Arial"/>
          <w:sz w:val="22"/>
          <w:szCs w:val="22"/>
          <w:lang w:val="en-US"/>
        </w:rPr>
      </w:pPr>
      <w:r>
        <w:rPr>
          <w:rStyle w:val="Normaltextrun"/>
          <w:rFonts w:cs="Arial" w:ascii="Arial" w:hAnsi="Arial"/>
          <w:sz w:val="22"/>
          <w:szCs w:val="22"/>
          <w:lang w:val="en-US"/>
        </w:rPr>
        <w:t xml:space="preserve">PITT, R. E.; LIU, Y.; MUCK, R. E. SIMULATION OF THE EFFECT OF ADDITIVES ON AEROBIC STABILITY OF ALFALFA AND CORN SILAGES. </w:t>
      </w:r>
      <w:r>
        <w:rPr>
          <w:rStyle w:val="Normaltextrun"/>
          <w:rFonts w:cs="Arial" w:ascii="Arial" w:hAnsi="Arial"/>
          <w:b/>
          <w:bCs/>
          <w:sz w:val="22"/>
          <w:szCs w:val="22"/>
          <w:lang w:val="en-US"/>
        </w:rPr>
        <w:t>Transactions of the ASAE</w:t>
      </w:r>
      <w:r>
        <w:rPr>
          <w:rStyle w:val="Normaltextrun"/>
          <w:rFonts w:cs="Arial" w:ascii="Arial" w:hAnsi="Arial"/>
          <w:sz w:val="22"/>
          <w:szCs w:val="22"/>
          <w:lang w:val="en-US"/>
        </w:rPr>
        <w:t xml:space="preserve">, v. 34, n. 4, p. 1633–1641, jul. 1991. </w:t>
      </w:r>
      <w:r>
        <w:rPr>
          <w:rStyle w:val="Eop"/>
          <w:rFonts w:cs="Arial" w:ascii="Arial" w:hAnsi="Arial"/>
          <w:sz w:val="22"/>
          <w:szCs w:val="22"/>
          <w:lang w:val="en-US"/>
        </w:rPr>
        <w:t> </w:t>
      </w:r>
    </w:p>
    <w:p>
      <w:pPr>
        <w:pStyle w:val="Paragraph"/>
        <w:spacing w:beforeAutospacing="0" w:before="0" w:afterAutospacing="0" w:after="0"/>
        <w:textAlignment w:val="baseline"/>
        <w:rPr>
          <w:rFonts w:ascii="Arial" w:hAnsi="Arial" w:cs="Arial"/>
          <w:sz w:val="22"/>
          <w:szCs w:val="22"/>
          <w:lang w:val="en-US"/>
        </w:rPr>
      </w:pPr>
      <w:r>
        <w:rPr>
          <w:rFonts w:cs="Arial" w:ascii="Arial" w:hAnsi="Arial"/>
          <w:sz w:val="22"/>
          <w:szCs w:val="22"/>
          <w:lang w:val="en-US"/>
        </w:rPr>
      </w:r>
    </w:p>
    <w:p>
      <w:pPr>
        <w:pStyle w:val="Paragraph"/>
        <w:spacing w:beforeAutospacing="0" w:before="0" w:afterAutospacing="0" w:after="0"/>
        <w:textAlignment w:val="baseline"/>
        <w:rPr>
          <w:rFonts w:ascii="Arial" w:hAnsi="Arial" w:cs="Arial"/>
          <w:sz w:val="22"/>
          <w:szCs w:val="22"/>
          <w:lang w:val="en-US"/>
        </w:rPr>
      </w:pPr>
      <w:r>
        <w:rPr>
          <w:rStyle w:val="Normaltextrun"/>
          <w:rFonts w:cs="Arial" w:ascii="Arial" w:hAnsi="Arial"/>
          <w:sz w:val="22"/>
          <w:szCs w:val="22"/>
          <w:lang w:val="en-US"/>
        </w:rPr>
        <w:t xml:space="preserve">SAYLOR, B. A. et al. Effect of kernel breakage on the fermentation profile, nitrogen fractions, and in vitro starch digestibility of whole-plant corn silage and ensiled corn grain. </w:t>
      </w:r>
      <w:r>
        <w:rPr>
          <w:rStyle w:val="Normaltextrun"/>
          <w:rFonts w:cs="Arial" w:ascii="Arial" w:hAnsi="Arial"/>
          <w:bCs/>
          <w:sz w:val="22"/>
          <w:szCs w:val="22"/>
          <w:lang w:val="en-US"/>
        </w:rPr>
        <w:t>JDS Communications</w:t>
      </w:r>
      <w:r>
        <w:rPr>
          <w:rStyle w:val="Normaltextrun"/>
          <w:rFonts w:cs="Arial" w:ascii="Arial" w:hAnsi="Arial"/>
          <w:sz w:val="22"/>
          <w:szCs w:val="22"/>
          <w:lang w:val="en-US"/>
        </w:rPr>
        <w:t>, v. 2, n. 4, p. 191–195, 1 jul. 2021.</w:t>
      </w:r>
    </w:p>
    <w:sectPr>
      <w:headerReference w:type="default" r:id="rId4"/>
      <w:footerReference w:type="default" r:id="rId5"/>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e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settings.xml><?xml version="1.0" encoding="utf-8"?>
<w:settings xmlns:w="http://schemas.openxmlformats.org/wordprocessingml/2006/main">
  <w:zoom w:val="bestFit" w:percent="144"/>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pBdr/>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TextodebaloChar" w:customStyle="1">
    <w:name w:val="Texto de balão Char"/>
    <w:basedOn w:val="DefaultParagraphFont"/>
    <w:link w:val="BalloonText"/>
    <w:uiPriority w:val="99"/>
    <w:semiHidden/>
    <w:qFormat/>
    <w:rsid w:val="00580fcc"/>
    <w:rPr>
      <w:rFonts w:ascii="Tahoma" w:hAnsi="Tahoma" w:cs="Tahoma"/>
      <w:sz w:val="16"/>
      <w:szCs w:val="16"/>
      <w:lang w:val="en-US" w:eastAsia="en-US"/>
    </w:rPr>
  </w:style>
  <w:style w:type="character" w:styleId="Normaltextrun" w:customStyle="1">
    <w:name w:val="normaltextrun"/>
    <w:basedOn w:val="DefaultParagraphFont"/>
    <w:qFormat/>
    <w:rsid w:val="00580fcc"/>
    <w:rPr/>
  </w:style>
  <w:style w:type="character" w:styleId="Eop" w:customStyle="1">
    <w:name w:val="eop"/>
    <w:basedOn w:val="DefaultParagraphFont"/>
    <w:qFormat/>
    <w:rsid w:val="00580fcc"/>
    <w:rPr/>
  </w:style>
  <w:style w:type="character" w:styleId="Contentcontrolboundarysink" w:customStyle="1">
    <w:name w:val="contentcontrolboundarysink"/>
    <w:basedOn w:val="DefaultParagraphFont"/>
    <w:qFormat/>
    <w:rsid w:val="00580fcc"/>
    <w:rPr/>
  </w:style>
  <w:style w:type="character" w:styleId="Textrun" w:customStyle="1">
    <w:name w:val="textrun"/>
    <w:basedOn w:val="DefaultParagraphFont"/>
    <w:qFormat/>
    <w:rsid w:val="00fd7939"/>
    <w:rPr/>
  </w:style>
  <w:style w:type="character" w:styleId="Linebreakblob" w:customStyle="1">
    <w:name w:val="linebreakblob"/>
    <w:basedOn w:val="DefaultParagraphFont"/>
    <w:qFormat/>
    <w:rsid w:val="00fd7939"/>
    <w:rPr/>
  </w:style>
  <w:style w:type="character" w:styleId="Scxw223881706" w:customStyle="1">
    <w:name w:val="scxw223881706"/>
    <w:basedOn w:val="DefaultParagraphFont"/>
    <w:qFormat/>
    <w:rsid w:val="00fd7939"/>
    <w:rPr/>
  </w:style>
  <w:style w:type="character" w:styleId="Tabrun" w:customStyle="1">
    <w:name w:val="tabrun"/>
    <w:basedOn w:val="DefaultParagraphFont"/>
    <w:qFormat/>
    <w:rsid w:val="00fd7939"/>
    <w:rPr/>
  </w:style>
  <w:style w:type="character" w:styleId="Tabchar" w:customStyle="1">
    <w:name w:val="tabchar"/>
    <w:basedOn w:val="DefaultParagraphFont"/>
    <w:qFormat/>
    <w:rsid w:val="00fd7939"/>
    <w:rPr/>
  </w:style>
  <w:style w:type="character" w:styleId="Tableaderchars" w:customStyle="1">
    <w:name w:val="tableaderchars"/>
    <w:basedOn w:val="DefaultParagraphFont"/>
    <w:qFormat/>
    <w:rsid w:val="00fd7939"/>
    <w:rPr/>
  </w:style>
  <w:style w:type="character" w:styleId="Contentcontrol" w:customStyle="1">
    <w:name w:val="contentcontrol"/>
    <w:basedOn w:val="DefaultParagraphFont"/>
    <w:qFormat/>
    <w:rsid w:val="00fd7939"/>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BalloonText">
    <w:name w:val="Balloon Text"/>
    <w:basedOn w:val="Normal"/>
    <w:link w:val="TextodebaloChar"/>
    <w:uiPriority w:val="99"/>
    <w:semiHidden/>
    <w:unhideWhenUsed/>
    <w:qFormat/>
    <w:rsid w:val="00580fcc"/>
    <w:pPr/>
    <w:rPr>
      <w:rFonts w:ascii="Tahoma" w:hAnsi="Tahoma" w:cs="Tahoma"/>
      <w:sz w:val="16"/>
      <w:szCs w:val="16"/>
    </w:rPr>
  </w:style>
  <w:style w:type="paragraph" w:styleId="Paragraph" w:customStyle="1">
    <w:name w:val="paragraph"/>
    <w:basedOn w:val="Normal"/>
    <w:qFormat/>
    <w:rsid w:val="00580fcc"/>
    <w:pPr>
      <w:pBdr/>
      <w:spacing w:beforeAutospacing="1" w:afterAutospacing="1"/>
    </w:pPr>
    <w:rPr>
      <w:rFonts w:eastAsia="Times New Roman"/>
      <w:lang w:val="pt-BR" w:eastAsia="pt-BR"/>
    </w:rPr>
  </w:style>
  <w:style w:type="paragraph" w:styleId="NormalWeb">
    <w:name w:val="Normal (Web)"/>
    <w:basedOn w:val="Normal"/>
    <w:uiPriority w:val="99"/>
    <w:unhideWhenUsed/>
    <w:qFormat/>
    <w:rsid w:val="00fd7939"/>
    <w:pPr>
      <w:pBdr/>
      <w:spacing w:beforeAutospacing="1" w:afterAutospacing="1"/>
    </w:pPr>
    <w:rPr>
      <w:rFonts w:eastAsia="Times New Roman"/>
      <w:lang w:val="pt-BR" w:eastAsia="pt-BR"/>
    </w:rPr>
  </w:style>
  <w:style w:type="paragraph" w:styleId="Cabealho">
    <w:name w:val="Header"/>
    <w:basedOn w:val="CabealhoeRodap"/>
    <w:pPr/>
    <w:rPr/>
  </w:style>
  <w:style w:type="paragraph" w:styleId="Rodap">
    <w:name w:val="Footer"/>
    <w:basedOn w:val="CabealhoeRodap"/>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fabianaortizmeloo@gmail.com"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LibreOffice/7.3.2.2$Windows_X86_64 LibreOffice_project/49f2b1bff42cfccbd8f788c8dc32c1c309559be0</Application>
  <AppVersion>15.0000</AppVersion>
  <Pages>3</Pages>
  <Words>1207</Words>
  <Characters>6571</Characters>
  <CharactersWithSpaces>7719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2023-10-11T13:35:00Z</dcterms:created>
  <dc:creator/>
  <dc:description/>
  <dc:language>pt-BR</dc:language>
  <cp:lastModifiedBy/>
  <dcterms:modified xsi:type="dcterms:W3CDTF">2023-10-11T13:35:00Z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