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rFonts w:ascii="Arial" w:hAnsi="Arial"/>
          <w:b/>
          <w:b/>
          <w:color w:val="000000" w:themeColor="text1"/>
          <w:sz w:val="28"/>
          <w:szCs w:val="28"/>
          <w:lang w:val="pt-BR"/>
        </w:rPr>
      </w:pPr>
      <w:r>
        <w:rPr>
          <w:rFonts w:ascii="Arial" w:hAnsi="Arial"/>
          <w:b/>
          <w:color w:val="000000" w:themeColor="text1"/>
          <w:sz w:val="28"/>
          <w:szCs w:val="28"/>
          <w:lang w:val="pt-BR"/>
        </w:rPr>
        <w:t>BOTULISMO EM BOVINOS: DIFERENTES FONTES DE CONTAMINAÇÃO</w:t>
      </w:r>
    </w:p>
    <w:p>
      <w:pPr>
        <w:pStyle w:val="LOnormal"/>
        <w:spacing w:lineRule="auto" w:line="276"/>
        <w:ind w:right="280" w:hanging="0"/>
        <w:jc w:val="center"/>
        <w:rPr>
          <w:rFonts w:ascii="Arial" w:hAnsi="Arial"/>
          <w:b/>
          <w:b/>
          <w:color w:val="000000" w:themeColor="text1"/>
          <w:sz w:val="20"/>
          <w:szCs w:val="20"/>
          <w:u w:val="single"/>
          <w:lang w:val="pt-BR"/>
        </w:rPr>
      </w:pPr>
      <w:r>
        <w:rPr>
          <w:rFonts w:ascii="Arial" w:hAnsi="Arial"/>
          <w:b/>
          <w:color w:val="000000" w:themeColor="text1"/>
          <w:sz w:val="20"/>
          <w:szCs w:val="20"/>
          <w:u w:val="single" w:color="00000A"/>
          <w:lang w:val="pt-BR"/>
        </w:rPr>
      </w:r>
    </w:p>
    <w:p>
      <w:pPr>
        <w:pStyle w:val="LOnormal"/>
        <w:ind w:right="280" w:hanging="0"/>
        <w:jc w:val="center"/>
        <w:rPr>
          <w:rFonts w:ascii="Arial" w:hAnsi="Arial"/>
          <w:b/>
          <w:b/>
          <w:color w:val="000000" w:themeColor="text1"/>
          <w:sz w:val="20"/>
          <w:szCs w:val="20"/>
          <w:lang w:val="pt-BR"/>
        </w:rPr>
      </w:pPr>
      <w:r>
        <w:rPr>
          <w:rFonts w:ascii="Arial" w:hAnsi="Arial"/>
          <w:b/>
          <w:color w:val="000000" w:themeColor="text1"/>
          <w:sz w:val="20"/>
          <w:szCs w:val="20"/>
          <w:u w:val="single"/>
          <w:lang w:val="pt-BR"/>
        </w:rPr>
        <w:t>Carina Ana Baretta¹</w:t>
      </w:r>
      <w:r>
        <w:rPr>
          <w:rFonts w:ascii="Arial" w:hAnsi="Arial"/>
          <w:b/>
          <w:color w:val="000000" w:themeColor="text1"/>
          <w:sz w:val="20"/>
          <w:szCs w:val="20"/>
          <w:lang w:val="pt-BR"/>
        </w:rPr>
        <w:t>, Daiane Ogliari¹, Aldo Gava¹</w:t>
      </w:r>
    </w:p>
    <w:p>
      <w:pPr>
        <w:pStyle w:val="LOnormal"/>
        <w:spacing w:lineRule="auto" w:line="276"/>
        <w:ind w:right="280" w:hanging="0"/>
        <w:jc w:val="center"/>
        <w:rPr>
          <w:rFonts w:ascii="Arial" w:hAnsi="Arial" w:eastAsia="Arial" w:cs="Arial"/>
          <w:color w:val="000000"/>
          <w:sz w:val="20"/>
          <w:szCs w:val="20"/>
          <w:lang w:val="pt-BR"/>
        </w:rPr>
      </w:pPr>
      <w:r>
        <w:rPr>
          <w:rFonts w:eastAsia="Arial" w:cs="Arial" w:ascii="Arial" w:hAnsi="Arial"/>
          <w:color w:val="000000"/>
          <w:sz w:val="20"/>
          <w:szCs w:val="20"/>
          <w:lang w:val="pt-BR"/>
        </w:rPr>
      </w:r>
    </w:p>
    <w:p>
      <w:pPr>
        <w:pStyle w:val="LOnormal"/>
        <w:spacing w:lineRule="auto" w:line="276"/>
        <w:ind w:right="280" w:hanging="0"/>
        <w:jc w:val="center"/>
        <w:rPr>
          <w:rFonts w:ascii="Arial" w:hAnsi="Arial" w:eastAsia="Arial" w:cs="Arial"/>
          <w:color w:val="000000"/>
          <w:sz w:val="20"/>
          <w:szCs w:val="20"/>
          <w:lang w:val="pt-BR"/>
        </w:rPr>
      </w:pPr>
      <w:r>
        <w:rPr>
          <w:rFonts w:eastAsia="Arial" w:cs="Arial" w:ascii="Arial" w:hAnsi="Arial"/>
          <w:color w:val="000000"/>
          <w:sz w:val="20"/>
          <w:szCs w:val="20"/>
          <w:lang w:val="pt-BR"/>
        </w:rPr>
        <w:t xml:space="preserve">¹Arquivos do Laboratório de Patologia Animal. Centro de Ciências Agroveterinárias. Universidade do Estado de Santa Catarina – UDESC.  E-mail: </w:t>
      </w:r>
      <w:hyperlink r:id="rId2">
        <w:r>
          <w:rPr>
            <w:rStyle w:val="LinkdaInternet"/>
            <w:rFonts w:eastAsia="Arial" w:cs="Arial" w:ascii="Arial" w:hAnsi="Arial"/>
            <w:sz w:val="20"/>
            <w:szCs w:val="20"/>
            <w:lang w:val="pt-BR"/>
          </w:rPr>
          <w:t>carinabaretta3@gmail.com</w:t>
        </w:r>
      </w:hyperlink>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r>
        <w:rPr>
          <w:rFonts w:ascii="Arial" w:hAnsi="Arial"/>
          <w:b/>
          <w:bCs/>
          <w:color w:val="000000"/>
          <w:sz w:val="22"/>
          <w:szCs w:val="22"/>
          <w:u w:val="none" w:color="000000"/>
          <w:lang w:val="pt-BR"/>
        </w:rPr>
        <w:t>Contribuição para a sociedade</w:t>
      </w:r>
      <w:r>
        <w:rPr>
          <w:rFonts w:ascii="Arial" w:hAnsi="Arial"/>
          <w:color w:val="000000"/>
          <w:sz w:val="22"/>
          <w:szCs w:val="22"/>
          <w:u w:val="none" w:color="000000"/>
          <w:lang w:val="pt-BR"/>
        </w:rPr>
        <w:t xml:space="preserve">: </w:t>
      </w:r>
      <w:r>
        <w:rPr>
          <w:rFonts w:ascii="Arial" w:hAnsi="Arial"/>
          <w:color w:val="000000" w:themeColor="text1"/>
          <w:sz w:val="22"/>
          <w:szCs w:val="22"/>
          <w:lang w:val="pt-BR"/>
        </w:rPr>
        <w:t xml:space="preserve">O botulismo é uma doença causada pela ingestão de toxinas pré-formadas em condição de anaerobiose, oriundas do </w:t>
      </w:r>
      <w:r>
        <w:rPr>
          <w:rFonts w:ascii="Arial" w:hAnsi="Arial"/>
          <w:i/>
          <w:iCs/>
          <w:color w:val="000000" w:themeColor="text1"/>
          <w:sz w:val="22"/>
          <w:szCs w:val="22"/>
          <w:lang w:val="pt-BR"/>
        </w:rPr>
        <w:t>Clostridium botulinum</w:t>
      </w:r>
      <w:r>
        <w:rPr>
          <w:rFonts w:ascii="Arial" w:hAnsi="Arial"/>
          <w:color w:val="000000" w:themeColor="text1"/>
          <w:sz w:val="22"/>
          <w:szCs w:val="22"/>
          <w:lang w:val="pt-BR"/>
        </w:rPr>
        <w:t>, que acomete diferente espécies animais, dentre elas bovinos. O objetivo deste trabalho é relatar 15 surtos de botulismo em bovinos diagnosticados nos últimos dez anos, caracterizando a epidemiologia, os achados clínico-patológicos e laboratoriais. A morbidade da enfermidade, variou de 4 a 92%, e a letalidade foi de 100%, sendo que as mortes ocorreram entre 12 horas até 15 dias após o início dos sinais clínicos. Não existe tratamento curativo. Para profilaxia recomenda-se controle das fontes de contaminação e a vacinação.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r>
        <w:rPr>
          <w:rFonts w:ascii="Arial" w:hAnsi="Arial"/>
          <w:b/>
          <w:bCs/>
          <w:color w:val="000000"/>
          <w:sz w:val="22"/>
          <w:szCs w:val="22"/>
          <w:u w:val="none" w:color="000000"/>
          <w:lang w:val="pt-BR"/>
        </w:rPr>
        <w:t>Palavras-chave</w:t>
      </w:r>
      <w:r>
        <w:rPr>
          <w:rFonts w:ascii="Arial" w:hAnsi="Arial"/>
          <w:color w:val="000000"/>
          <w:sz w:val="22"/>
          <w:szCs w:val="22"/>
          <w:u w:val="none" w:color="000000"/>
          <w:lang w:val="pt-BR"/>
        </w:rPr>
        <w:t xml:space="preserve">: </w:t>
      </w:r>
      <w:r>
        <w:rPr>
          <w:rFonts w:ascii="Arial" w:hAnsi="Arial"/>
          <w:color w:val="000000" w:themeColor="text1"/>
          <w:sz w:val="22"/>
          <w:szCs w:val="22"/>
          <w:lang w:val="pt-BR"/>
        </w:rPr>
        <w:t xml:space="preserve">toxina botulínica, paralisia flácida, </w:t>
      </w:r>
      <w:r>
        <w:rPr>
          <w:rFonts w:ascii="Arial" w:hAnsi="Arial"/>
          <w:i/>
          <w:iCs/>
          <w:color w:val="000000" w:themeColor="text1"/>
          <w:sz w:val="22"/>
          <w:szCs w:val="22"/>
          <w:lang w:val="pt-BR"/>
        </w:rPr>
        <w:t>Clostridium botulinum.</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eastAsia="Arial" w:cs="Arial"/>
          <w:sz w:val="22"/>
          <w:szCs w:val="22"/>
          <w:lang w:val="pt-BR"/>
        </w:rPr>
      </w:pPr>
      <w:r>
        <w:rPr>
          <w:rFonts w:ascii="Arial" w:hAnsi="Arial"/>
          <w:b/>
          <w:bCs/>
          <w:color w:val="000000"/>
          <w:sz w:val="22"/>
          <w:szCs w:val="22"/>
          <w:u w:val="none" w:color="000000"/>
          <w:lang w:val="pt-BR"/>
        </w:rPr>
        <w:t xml:space="preserve">Introdução: </w:t>
      </w:r>
      <w:r>
        <w:rPr>
          <w:rFonts w:ascii="Arial" w:hAnsi="Arial"/>
          <w:color w:val="000000" w:themeColor="text1"/>
          <w:sz w:val="22"/>
          <w:szCs w:val="22"/>
          <w:lang w:val="pt-BR"/>
        </w:rPr>
        <w:t xml:space="preserve">No ambiente existem diferentes microrganismos, que em condições ambientais adequadas proliferam e estão em contato direto com os animais. O </w:t>
      </w:r>
      <w:r>
        <w:rPr>
          <w:rFonts w:ascii="Arial" w:hAnsi="Arial"/>
          <w:i/>
          <w:iCs/>
          <w:color w:val="000000" w:themeColor="text1"/>
          <w:sz w:val="22"/>
          <w:szCs w:val="22"/>
          <w:lang w:val="pt-BR"/>
        </w:rPr>
        <w:t>Clostridium botulinum</w:t>
      </w:r>
      <w:r>
        <w:rPr>
          <w:rFonts w:ascii="Arial" w:hAnsi="Arial"/>
          <w:color w:val="000000" w:themeColor="text1"/>
          <w:sz w:val="22"/>
          <w:szCs w:val="22"/>
          <w:lang w:val="pt-BR"/>
        </w:rPr>
        <w:t xml:space="preserve"> é um bacilo anaeróbio, onde na sua forma vegetativa forma esporos encontrados em solo, água parada, cadáveres em decomposição, alimentos deteriorados e no trato digestivo dos animais. Em situações de umidade e calor os esporos produzem uma toxina letal (Radostits et al., 2012). Dentre as toxinas, de importância para bovinos, ovinos e equinos estão as toxinas C e D (Dutra et al, 2001). As toxinas são ingeridas, absorvidas e transportadas até o sistema nervoso central especificamente aos neurônios, atuando nas junções neuromusculares, acarretando paralisia motora, resultando em flacidez, sem perda sensorial (</w:t>
      </w:r>
      <w:r>
        <w:rPr>
          <w:rFonts w:eastAsia="Arial" w:cs="Arial" w:ascii="Arial" w:hAnsi="Arial"/>
          <w:sz w:val="22"/>
          <w:szCs w:val="22"/>
          <w:lang w:val="pt-BR"/>
        </w:rPr>
        <w:t>Langenegger; Döbereiner; Tokarnia, 1983).</w:t>
      </w:r>
    </w:p>
    <w:p>
      <w:pPr>
        <w:pStyle w:val="LOnormal"/>
        <w:jc w:val="both"/>
        <w:rPr>
          <w:rFonts w:ascii="Arial" w:hAnsi="Arial"/>
          <w:color w:val="000000" w:themeColor="text1"/>
          <w:sz w:val="22"/>
          <w:szCs w:val="22"/>
          <w:lang w:val="pt-BR"/>
        </w:rPr>
      </w:pPr>
      <w:r>
        <w:rPr>
          <w:rFonts w:eastAsia="Arial" w:cs="Arial" w:ascii="Arial" w:hAnsi="Arial"/>
          <w:sz w:val="22"/>
          <w:szCs w:val="22"/>
          <w:lang w:val="pt-BR"/>
        </w:rPr>
        <w:t>O presente trabalho tem por objetivo descrever diferentes fontes de intoxicação pela toxina botulínica em bovinos de diferentes sistemas de criação, principalmente bovinos de leite.</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bookmarkStart w:id="0" w:name="_headingh.30j0zll"/>
      <w:bookmarkEnd w:id="0"/>
      <w:r>
        <w:rPr>
          <w:rFonts w:ascii="Arial" w:hAnsi="Arial"/>
          <w:b/>
          <w:bCs/>
          <w:color w:val="000000"/>
          <w:sz w:val="22"/>
          <w:szCs w:val="22"/>
          <w:u w:val="none" w:color="000000"/>
          <w:lang w:val="pt-BR"/>
        </w:rPr>
        <w:t>Material e métodos:</w:t>
      </w:r>
      <w:r>
        <w:rPr>
          <w:rFonts w:ascii="Arial" w:hAnsi="Arial"/>
          <w:color w:val="000000"/>
          <w:sz w:val="22"/>
          <w:szCs w:val="22"/>
          <w:u w:val="none" w:color="000000"/>
          <w:lang w:val="pt-BR"/>
        </w:rPr>
        <w:t xml:space="preserve"> </w:t>
      </w:r>
      <w:r>
        <w:rPr>
          <w:rFonts w:ascii="Arial" w:hAnsi="Arial"/>
          <w:color w:val="000000"/>
          <w:sz w:val="22"/>
          <w:szCs w:val="22"/>
          <w:lang w:val="pt-BR"/>
        </w:rPr>
        <w:t>Foram avaliados 15 surtos de botulismo em bovinos de leite e corte, ocorridos nos últimos dez anos. Em todos os surtos foram efetuados levantamento de históricos, avaliação clínica de animais doentes, e necropsia de 50 bovinos, com coleta de amostras de vários órgãos para avaliação histopatológica (Laboratório de Produção e Sanidade Animal, CAV/UDESC) e coleta de amostras de material suspeito em cinco propriedade para detecção da toxina botulínica, o qual foi enviado para Laboratório de enfermidades infecciosa dos animais  - DAPSA, Araçatuba, SP. Em todas as propriedades houve orientação para tomar medidas profiláticas incluindo vacinação anti-botulismo.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Resultados e discussões:</w:t>
      </w:r>
      <w:r>
        <w:rPr>
          <w:rFonts w:ascii="Arial" w:hAnsi="Arial"/>
          <w:color w:val="000000"/>
          <w:sz w:val="22"/>
          <w:szCs w:val="22"/>
          <w:u w:val="none" w:color="000000"/>
          <w:lang w:val="pt-BR"/>
        </w:rPr>
        <w:t xml:space="preserve"> </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1</w:t>
      </w:r>
      <w:r>
        <w:rPr>
          <w:rFonts w:ascii="Arial" w:hAnsi="Arial"/>
          <w:color w:val="000000" w:themeColor="text1"/>
          <w:sz w:val="22"/>
          <w:szCs w:val="22"/>
          <w:lang w:val="pt-BR"/>
        </w:rPr>
        <w:t xml:space="preserve">: Piratuba – SC: No total 21 vacas em lactação, morreram quatro. A fonte da intoxicação era um comedouro onde as quatro vacas se alimentavam e havia resto de silagem em processo de degradação. </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2</w:t>
      </w:r>
      <w:r>
        <w:rPr>
          <w:rFonts w:ascii="Arial" w:hAnsi="Arial"/>
          <w:color w:val="000000" w:themeColor="text1"/>
          <w:sz w:val="22"/>
          <w:szCs w:val="22"/>
          <w:lang w:val="pt-BR"/>
        </w:rPr>
        <w:t>: Castro - PR: Na propriedade havia 95 vacas em lactação em sistema de criação semiconfinada, morreram 85 animais. Na composição alimentar incluía o fornecimento de pré-secado, em um dos fardos foi encontrado uma carcaça de animal em decomposição, no momento de fazer a mistura dos alimentos, foi retirado apenas a carcaça, e o restante foi utilizado.</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3</w:t>
      </w:r>
      <w:r>
        <w:rPr>
          <w:rFonts w:ascii="Arial" w:hAnsi="Arial"/>
          <w:color w:val="000000" w:themeColor="text1"/>
          <w:sz w:val="22"/>
          <w:szCs w:val="22"/>
          <w:lang w:val="pt-BR"/>
        </w:rPr>
        <w:t xml:space="preserve">: Antônio Prado – RS: No rebanho era composto de 24 vacas em lactação, morreram quatro vacas. Nessa propriedade em decorrência da deficiência de sódio os animais consumiam a maravalha utilizada como cama, a qual foi diagnosticada como fonte da enfermidade. </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4</w:t>
      </w:r>
      <w:r>
        <w:rPr>
          <w:rFonts w:ascii="Arial" w:hAnsi="Arial"/>
          <w:color w:val="000000" w:themeColor="text1"/>
          <w:sz w:val="22"/>
          <w:szCs w:val="22"/>
          <w:lang w:val="pt-BR"/>
        </w:rPr>
        <w:t xml:space="preserve">: Carambeí - PR: Com um rebanho de 800 vacas em lactação, houve a morte de 30 animais. Após o início da manifestação clínica, as mortes ocorriam em até 48 horas e continuaram por 15 dias. No distribuidor de comida, havia resto de silagem em processo fermentativo, com presença de carcaça de ave. O diagnóstico foi confirmado a partir do terceiro dia com início da vacinação imediata. </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5</w:t>
      </w:r>
      <w:r>
        <w:rPr>
          <w:rFonts w:ascii="Arial" w:hAnsi="Arial"/>
          <w:color w:val="000000" w:themeColor="text1"/>
          <w:sz w:val="22"/>
          <w:szCs w:val="22"/>
          <w:lang w:val="pt-BR"/>
        </w:rPr>
        <w:t xml:space="preserve">: Carambeí - PR: Nesta propriedade em um lote de 30 novilhas, houve morte de seis animais. A alimentação era composta de silagem e ração no comedouro sendo que, neste local existia grande quantidade de alimento em decomposição em decorrência de acúmulo de água. </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6</w:t>
      </w:r>
      <w:r>
        <w:rPr>
          <w:rFonts w:ascii="Arial" w:hAnsi="Arial"/>
          <w:color w:val="000000" w:themeColor="text1"/>
          <w:sz w:val="22"/>
          <w:szCs w:val="22"/>
          <w:lang w:val="pt-BR"/>
        </w:rPr>
        <w:t>: Tunápolis – SC: No rebanho de 43 bovinos leiteiros, morreram 28 animais. Próximos a nascente da água que os bovinos ingeriam foi observado restos de carcaça de animais.</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7:</w:t>
      </w:r>
      <w:r>
        <w:rPr>
          <w:rFonts w:ascii="Arial" w:hAnsi="Arial"/>
          <w:color w:val="000000" w:themeColor="text1"/>
          <w:sz w:val="22"/>
          <w:szCs w:val="22"/>
          <w:lang w:val="pt-BR"/>
        </w:rPr>
        <w:t xml:space="preserve"> Armazém – SC: No rebanho de 70 bovinos de corte morreram 30 animais. Nessa propriedade foi observado carcaça de dois urubus dentro do reservatório de soro de leite.</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8</w:t>
      </w:r>
      <w:r>
        <w:rPr>
          <w:rFonts w:ascii="Arial" w:hAnsi="Arial"/>
          <w:color w:val="000000" w:themeColor="text1"/>
          <w:sz w:val="22"/>
          <w:szCs w:val="22"/>
          <w:lang w:val="pt-BR"/>
        </w:rPr>
        <w:t>: Santo Amarro da Imperatriz – SC: Propriedade com 300 bovinos de corte morreram 89. Foi observado um gamba em decomposição dentro do reservatório de soro de leite.</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9</w:t>
      </w:r>
      <w:r>
        <w:rPr>
          <w:rFonts w:ascii="Arial" w:hAnsi="Arial"/>
          <w:color w:val="000000" w:themeColor="text1"/>
          <w:sz w:val="22"/>
          <w:szCs w:val="22"/>
          <w:lang w:val="pt-BR"/>
        </w:rPr>
        <w:t xml:space="preserve">: Braço do Norte – SC. Propriedade com 60 vacas holandesas morreram 27. O reservatório do soro de leite era utilizado a pelo menos cinco anos sem ser higienizado. </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10</w:t>
      </w:r>
      <w:r>
        <w:rPr>
          <w:rFonts w:ascii="Arial" w:hAnsi="Arial"/>
          <w:color w:val="000000" w:themeColor="text1"/>
          <w:sz w:val="22"/>
          <w:szCs w:val="22"/>
          <w:lang w:val="pt-BR"/>
        </w:rPr>
        <w:t>: Lages – SC: Na propriedade 20 bovinos de corte, morreram três. Foi encontrado um porco em decomposição no depósito de água em que os animais tinham acesso.</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11</w:t>
      </w:r>
      <w:r>
        <w:rPr>
          <w:rFonts w:ascii="Arial" w:hAnsi="Arial"/>
          <w:color w:val="000000" w:themeColor="text1"/>
          <w:sz w:val="22"/>
          <w:szCs w:val="22"/>
          <w:lang w:val="pt-BR"/>
        </w:rPr>
        <w:t xml:space="preserve">: Santo Amarro da Imperatriz – SC: Propriedade com 12 bovinos de corte onde morreram três. Pequeno lago com patos, cisnes e gansos, muitos dos quais morriam no próprio local onde os bovinos tomavam água. </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12</w:t>
      </w:r>
      <w:r>
        <w:rPr>
          <w:rFonts w:ascii="Arial" w:hAnsi="Arial"/>
          <w:color w:val="000000" w:themeColor="text1"/>
          <w:sz w:val="22"/>
          <w:szCs w:val="22"/>
          <w:lang w:val="pt-BR"/>
        </w:rPr>
        <w:t>: Água Doce – SC: Um rebanho de 20 novilhas da raça holandesa, morreram cinco. No local foi utilizado cama de aviário com restos de pintinhos em decomposição.</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13</w:t>
      </w:r>
      <w:r>
        <w:rPr>
          <w:rFonts w:ascii="Arial" w:hAnsi="Arial"/>
          <w:color w:val="000000" w:themeColor="text1"/>
          <w:sz w:val="22"/>
          <w:szCs w:val="22"/>
          <w:lang w:val="pt-BR"/>
        </w:rPr>
        <w:t>: Tijucas – SC: Na propriedade, 30 bovinos de corte onde morreram oito animais. Foi encontrado carcaça de capivara em decomposição no reservatório de água de bebida dos animais.</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Surto 14:</w:t>
      </w:r>
      <w:r>
        <w:rPr>
          <w:rFonts w:ascii="Arial" w:hAnsi="Arial"/>
          <w:color w:val="000000" w:themeColor="text1"/>
          <w:sz w:val="22"/>
          <w:szCs w:val="22"/>
          <w:lang w:val="pt-BR"/>
        </w:rPr>
        <w:t xml:space="preserve"> Muitos Capões – RS: Na propriedade havia 12 vacas Aberdeen-Angus, dessas morreram oito. Os animais estavam em uma área pequena, próximo ao salão de festas, onde os ossos do churrasco eram depositados e as vacas, por carência de fósforo ingeriam fragmento desses ossos.</w:t>
      </w:r>
    </w:p>
    <w:p>
      <w:pPr>
        <w:pStyle w:val="LOnormal"/>
        <w:jc w:val="both"/>
        <w:rPr>
          <w:rFonts w:ascii="Arial" w:hAnsi="Arial"/>
          <w:color w:val="000000" w:themeColor="text1"/>
          <w:sz w:val="22"/>
          <w:szCs w:val="22"/>
          <w:lang w:val="pt-BR"/>
        </w:rPr>
      </w:pPr>
      <w:r>
        <w:rPr>
          <w:rFonts w:ascii="Arial" w:hAnsi="Arial"/>
          <w:b/>
          <w:color w:val="000000" w:themeColor="text1"/>
          <w:sz w:val="22"/>
          <w:szCs w:val="22"/>
          <w:lang w:val="pt-BR"/>
        </w:rPr>
        <w:t xml:space="preserve">Surto 15: </w:t>
      </w:r>
      <w:r>
        <w:rPr>
          <w:rFonts w:ascii="Arial" w:hAnsi="Arial"/>
          <w:color w:val="000000" w:themeColor="text1"/>
          <w:sz w:val="22"/>
          <w:szCs w:val="22"/>
          <w:lang w:val="pt-BR"/>
        </w:rPr>
        <w:t>Prata – MG: No rebanho era composto de 4000 bovinos de corte em confinamento, morreram 159 animais. Alimentação baseada em grãos com acúmulo de fezes em fermentação nas baias. Os animais por carência de sódio ingeriam as fezes em fermentação.</w:t>
      </w:r>
    </w:p>
    <w:p>
      <w:pPr>
        <w:pStyle w:val="LOnormal"/>
        <w:jc w:val="both"/>
        <w:rPr>
          <w:rFonts w:ascii="Arial" w:hAnsi="Arial"/>
          <w:color w:val="000000" w:themeColor="text1"/>
          <w:sz w:val="22"/>
          <w:szCs w:val="22"/>
          <w:lang w:val="pt-BR"/>
        </w:rPr>
      </w:pPr>
      <w:r>
        <w:rPr>
          <w:rFonts w:ascii="Arial" w:hAnsi="Arial"/>
          <w:color w:val="000000" w:themeColor="text1"/>
          <w:sz w:val="22"/>
          <w:szCs w:val="22"/>
          <w:lang w:val="pt-BR"/>
        </w:rPr>
        <w:t xml:space="preserve">Os principais sinais clínicos foram: incoordenação motora, perda do apetite, diminuição do tônus muscular da língua e da cauda, taquipneia, as vezes sialorreia, respiração abdominal, decúbito esternal permanente, evolução para decúbito lateral e morte. A evolução dos sinais até a morte variou de 12 horas até 15 dias após a manifestação dos sinais clínicos. A morbidade variou de 4 a 92% e a letalidade em todos os surtos acompanhados foi de 100%. </w:t>
      </w:r>
    </w:p>
    <w:p>
      <w:pPr>
        <w:pStyle w:val="LOnormal"/>
        <w:jc w:val="both"/>
        <w:rPr>
          <w:rFonts w:ascii="Arial" w:hAnsi="Arial"/>
          <w:color w:val="000000" w:themeColor="text1"/>
          <w:sz w:val="22"/>
          <w:szCs w:val="22"/>
          <w:lang w:val="pt-BR"/>
        </w:rPr>
      </w:pPr>
      <w:r>
        <w:rPr>
          <w:rFonts w:ascii="Arial" w:hAnsi="Arial"/>
          <w:color w:val="000000" w:themeColor="text1"/>
          <w:sz w:val="22"/>
          <w:szCs w:val="22"/>
          <w:lang w:val="pt-BR"/>
        </w:rPr>
        <w:t>Na necropsia e exame histopatológico de todos os animais não foram encontradas lesões significativas. Das amostras coletadas de cinco propriedades para isolamento da toxina botulínica foram positivas para o Tipo C e/ou D.</w:t>
      </w:r>
    </w:p>
    <w:p>
      <w:pPr>
        <w:pStyle w:val="LOnormal"/>
        <w:jc w:val="both"/>
        <w:rPr>
          <w:rFonts w:ascii="Arial" w:hAnsi="Arial"/>
          <w:color w:val="000000" w:themeColor="text1"/>
          <w:sz w:val="22"/>
          <w:szCs w:val="22"/>
          <w:lang w:val="pt-BR"/>
        </w:rPr>
      </w:pPr>
      <w:r>
        <w:rPr>
          <w:rFonts w:ascii="Arial" w:hAnsi="Arial"/>
          <w:color w:val="000000" w:themeColor="text1"/>
          <w:sz w:val="22"/>
          <w:szCs w:val="22"/>
          <w:lang w:val="pt-BR"/>
        </w:rPr>
        <w:t>O botulismo é uma doença infecciosa que causa grandes perdas econômicas. Não há tratamento eficaz. Apenas medidas de controle e profilaxia são eficientes. Deve-se evitar alimentos em fermentação como silagem, grãos etc. Evitar o uso de alimentos e água contaminados com restos de carcaças. Em regiões de solos pobres em fósforo deve haver correção do mesmo e suplementação desse mineral para os animais.</w:t>
      </w:r>
      <w:r>
        <w:rPr>
          <w:rFonts w:eastAsia="Arial" w:cs="Arial" w:ascii="Arial" w:hAnsi="Arial"/>
          <w:sz w:val="22"/>
          <w:szCs w:val="22"/>
          <w:lang w:val="pt-BR"/>
        </w:rPr>
        <w:t xml:space="preserve"> </w:t>
      </w:r>
      <w:r>
        <w:rPr>
          <w:rFonts w:ascii="Arial" w:hAnsi="Arial"/>
          <w:color w:val="000000" w:themeColor="text1"/>
          <w:sz w:val="22"/>
          <w:szCs w:val="22"/>
          <w:lang w:val="pt-BR"/>
        </w:rPr>
        <w:t>Também deve se ter cuidado para carência de cloreto de sódio onde os bovinos tendem a ingerir alimentos não apropriados. O esquema de vacinação anual é uma medida profilática eficaz e sempre deve ser acompanhado de medidas de higiene e suplementação mineral.</w:t>
      </w:r>
    </w:p>
    <w:p>
      <w:pPr>
        <w:pStyle w:val="LOnormal"/>
        <w:widowControl w:val="false"/>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eastAsia="Arial" w:cs="Arial"/>
          <w:b/>
          <w:b/>
          <w:bCs/>
          <w:color w:val="000000"/>
          <w:sz w:val="22"/>
          <w:szCs w:val="22"/>
          <w:u w:val="none" w:color="000000"/>
          <w:lang w:val="pt-BR"/>
        </w:rPr>
      </w:pPr>
      <w:r>
        <w:rPr>
          <w:rFonts w:ascii="Arial" w:hAnsi="Arial"/>
          <w:b/>
          <w:bCs/>
          <w:color w:val="000000"/>
          <w:sz w:val="22"/>
          <w:szCs w:val="22"/>
          <w:u w:val="none" w:color="000000"/>
          <w:lang w:val="pt-BR"/>
        </w:rPr>
        <w:t>Conclusão</w:t>
      </w:r>
      <w:r>
        <w:rPr>
          <w:rFonts w:ascii="Arial" w:hAnsi="Arial"/>
          <w:color w:val="000000"/>
          <w:sz w:val="22"/>
          <w:szCs w:val="22"/>
          <w:u w:val="none" w:color="000000"/>
          <w:lang w:val="pt-BR"/>
        </w:rPr>
        <w:t xml:space="preserve">: </w:t>
      </w:r>
      <w:r>
        <w:rPr>
          <w:rFonts w:ascii="Arial" w:hAnsi="Arial"/>
          <w:color w:val="000000" w:themeColor="text1"/>
          <w:sz w:val="22"/>
          <w:szCs w:val="22"/>
          <w:lang w:val="pt-BR"/>
        </w:rPr>
        <w:t>O botulismo é uma das enfermidades infecciosa responsável por grandes perdas na econômicas da bovinocultura. Alimentos e água contaminada com resto de carcaças são as principais fontes de botulismo, associadas a carência de fósforo, cloreto de sódio e ausência de vacinação.</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t xml:space="preserve">Referências: </w:t>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r>
    </w:p>
    <w:p>
      <w:pPr>
        <w:pStyle w:val="LOnormal"/>
        <w:jc w:val="both"/>
        <w:rPr>
          <w:rFonts w:ascii="Arial" w:hAnsi="Arial" w:eastAsia="Arial" w:cs="Arial"/>
          <w:sz w:val="22"/>
          <w:szCs w:val="22"/>
          <w:lang w:val="pt-BR"/>
        </w:rPr>
      </w:pPr>
      <w:r>
        <w:rPr>
          <w:rFonts w:eastAsia="Arial" w:cs="Arial" w:ascii="Arial" w:hAnsi="Arial"/>
          <w:sz w:val="22"/>
          <w:szCs w:val="22"/>
          <w:lang w:val="pt-BR"/>
        </w:rPr>
        <w:t>DUTRA I. S.; DÖBEREINER J.; ROSA I. V.; SOUZA L. A. A.; NONATO M. Surtos de botulismo em bovinos no Brasil associados à Surtos de botulismo em bovinos no Brasil associados à ingestão de água contaminada ingestão de água contaminada. Pesquisa Veterinária Brasileira, Rio de Janeiro, v. 21, n. 2, p. 43-48, 2001.</w:t>
      </w:r>
    </w:p>
    <w:p>
      <w:pPr>
        <w:pStyle w:val="LOnormal"/>
        <w:jc w:val="both"/>
        <w:rPr>
          <w:rFonts w:ascii="Arial" w:hAnsi="Arial" w:eastAsia="Arial" w:cs="Arial"/>
          <w:sz w:val="22"/>
          <w:szCs w:val="22"/>
          <w:lang w:val="pt-BR"/>
        </w:rPr>
      </w:pPr>
      <w:r>
        <w:rPr>
          <w:rFonts w:eastAsia="Arial" w:cs="Arial" w:ascii="Arial" w:hAnsi="Arial"/>
          <w:sz w:val="22"/>
          <w:szCs w:val="22"/>
          <w:lang w:val="pt-BR"/>
        </w:rPr>
      </w:r>
    </w:p>
    <w:p>
      <w:pPr>
        <w:pStyle w:val="LOnormal"/>
        <w:jc w:val="both"/>
        <w:rPr>
          <w:rFonts w:ascii="Arial" w:hAnsi="Arial" w:eastAsia="Arial" w:cs="Arial"/>
          <w:sz w:val="22"/>
          <w:szCs w:val="22"/>
          <w:lang w:val="pt-BR"/>
        </w:rPr>
      </w:pPr>
      <w:r>
        <w:rPr>
          <w:rFonts w:eastAsia="Arial" w:cs="Arial" w:ascii="Arial" w:hAnsi="Arial"/>
          <w:sz w:val="22"/>
          <w:szCs w:val="22"/>
          <w:lang w:val="pt-BR"/>
        </w:rPr>
        <w:t>LANGENEGGER, J.; DÖBEREINER, J.; TOKARNIA, C. H. Botulismo epizoótico em bovinos no Brasil. Agroquímica, n. 20, p. 22-26, 1983.</w:t>
      </w:r>
    </w:p>
    <w:p>
      <w:pPr>
        <w:pStyle w:val="LOnormal"/>
        <w:jc w:val="both"/>
        <w:rPr>
          <w:lang w:val="pt-BR"/>
        </w:rPr>
      </w:pPr>
      <w:r>
        <w:rPr>
          <w:lang w:val="pt-BR"/>
        </w:rPr>
      </w:r>
    </w:p>
    <w:p>
      <w:pPr>
        <w:pStyle w:val="LOnormal"/>
        <w:spacing w:lineRule="auto" w:line="276" w:before="0" w:after="140"/>
        <w:ind w:right="284" w:hanging="0"/>
        <w:jc w:val="both"/>
        <w:rPr>
          <w:rFonts w:ascii="Arial" w:hAnsi="Arial" w:eastAsia="Arial" w:cs="Arial"/>
          <w:color w:val="000000"/>
          <w:sz w:val="22"/>
          <w:szCs w:val="22"/>
          <w:lang w:val="pt-BR"/>
        </w:rPr>
      </w:pPr>
      <w:bookmarkStart w:id="1" w:name="_Hlk147172737"/>
      <w:r>
        <w:rPr>
          <w:rFonts w:eastAsia="Arial" w:cs="Arial" w:ascii="Arial" w:hAnsi="Arial"/>
          <w:color w:val="000000" w:themeColor="text1"/>
          <w:sz w:val="22"/>
          <w:szCs w:val="22"/>
          <w:lang w:val="pt-BR"/>
        </w:rPr>
        <w:t>RADOSTITS O.M., GAY C.C., BLOOD D.C. &amp; HINCHCLIFF K.W. 2012. Clínica Veterinária: Um tratado de doenças dos bovinos, ovinos, suínos, caprinos e equinos. 9th ed. Guanabara Koogan, Rio de Janeiro, p.680.</w:t>
      </w:r>
      <w:bookmarkEnd w:id="1"/>
    </w:p>
    <w:p>
      <w:pPr>
        <w:pStyle w:val="LOnormal"/>
        <w:jc w:val="both"/>
        <w:rPr>
          <w:rFonts w:ascii="Arial" w:hAnsi="Arial"/>
          <w:b/>
          <w:b/>
          <w:bCs/>
          <w:color w:val="000000"/>
          <w:sz w:val="22"/>
          <w:szCs w:val="22"/>
          <w:u w:val="none" w:color="000000"/>
        </w:rPr>
      </w:pPr>
      <w:r>
        <w:rPr>
          <w:rFonts w:ascii="Arial" w:hAnsi="Arial"/>
          <w:b/>
          <w:bCs/>
          <w:color w:val="000000"/>
          <w:sz w:val="22"/>
          <w:szCs w:val="22"/>
          <w:u w:val="none" w:color="000000"/>
        </w:rPr>
      </w:r>
    </w:p>
    <w:p>
      <w:pPr>
        <w:pStyle w:val="LOnormal"/>
        <w:ind w:right="284" w:hanging="0"/>
        <w:jc w:val="both"/>
        <w:rPr/>
      </w:pPr>
      <w:r>
        <w:rPr/>
      </w:r>
    </w:p>
    <w:sectPr>
      <w:headerReference w:type="default" r:id="rId3"/>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152400" distB="152400" distL="152400" distR="152400" simplePos="0" locked="0" layoutInCell="0" allowOverlap="1" relativeHeight="4">
          <wp:simplePos x="0" y="0"/>
          <wp:positionH relativeFrom="page">
            <wp:posOffset>5080</wp:posOffset>
          </wp:positionH>
          <wp:positionV relativeFrom="page">
            <wp:posOffset>9525</wp:posOffset>
          </wp:positionV>
          <wp:extent cx="7556500" cy="1115060"/>
          <wp:effectExtent l="0" t="0" r="0" b="0"/>
          <wp:wrapTopAndBottom/>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customStyle="1">
    <w:name w:val="Link da Internet"/>
    <w:basedOn w:val="DefaultParagraphFont"/>
    <w:uiPriority w:val="99"/>
    <w:unhideWhenUsed/>
    <w:rsid w:val="00f65f7e"/>
    <w:rPr>
      <w:color w:val="0000FF" w:themeColor="hyperlink"/>
      <w:u w:val="single"/>
    </w:rPr>
  </w:style>
  <w:style w:type="character" w:styleId="MenoPendente1" w:customStyle="1">
    <w:name w:val="Menção Pendente1"/>
    <w:basedOn w:val="DefaultParagraphFont"/>
    <w:uiPriority w:val="99"/>
    <w:semiHidden/>
    <w:unhideWhenUsed/>
    <w:qFormat/>
    <w:rsid w:val="009c302a"/>
    <w:rPr>
      <w:color w:val="605E5C"/>
      <w:shd w:fill="E1DFDD" w:val="clear"/>
    </w:rPr>
  </w:style>
  <w:style w:type="character" w:styleId="CabealhoChar" w:customStyle="1">
    <w:name w:val="Cabeçalho Char"/>
    <w:basedOn w:val="DefaultParagraphFont"/>
    <w:uiPriority w:val="99"/>
    <w:qFormat/>
    <w:rsid w:val="009c302a"/>
    <w:rPr>
      <w:sz w:val="24"/>
      <w:szCs w:val="24"/>
      <w:lang w:val="en-US" w:eastAsia="en-US"/>
    </w:rPr>
  </w:style>
  <w:style w:type="character" w:styleId="RodapChar" w:customStyle="1">
    <w:name w:val="Rodapé Char"/>
    <w:basedOn w:val="DefaultParagraphFont"/>
    <w:uiPriority w:val="99"/>
    <w:qFormat/>
    <w:rsid w:val="009c302a"/>
    <w:rPr>
      <w:sz w:val="24"/>
      <w:szCs w:val="24"/>
      <w:lang w:val="en-US" w:eastAsia="en-US"/>
    </w:rPr>
  </w:style>
  <w:style w:type="character" w:styleId="Annotationreference">
    <w:name w:val="annotation reference"/>
    <w:basedOn w:val="DefaultParagraphFont"/>
    <w:uiPriority w:val="99"/>
    <w:semiHidden/>
    <w:unhideWhenUsed/>
    <w:qFormat/>
    <w:rsid w:val="00956e4a"/>
    <w:rPr>
      <w:sz w:val="16"/>
      <w:szCs w:val="16"/>
    </w:rPr>
  </w:style>
  <w:style w:type="character" w:styleId="TextodecomentrioChar" w:customStyle="1">
    <w:name w:val="Texto de comentário Char"/>
    <w:basedOn w:val="DefaultParagraphFont"/>
    <w:link w:val="Annotationtext"/>
    <w:uiPriority w:val="99"/>
    <w:qFormat/>
    <w:rsid w:val="00956e4a"/>
    <w:rPr>
      <w:lang w:val="en-US" w:eastAsia="en-US"/>
    </w:rPr>
  </w:style>
  <w:style w:type="character" w:styleId="AssuntodocomentrioChar" w:customStyle="1">
    <w:name w:val="Assunto do comentário Char"/>
    <w:basedOn w:val="TextodecomentrioChar"/>
    <w:link w:val="Annotationsubject"/>
    <w:uiPriority w:val="99"/>
    <w:semiHidden/>
    <w:qFormat/>
    <w:rsid w:val="00956e4a"/>
    <w:rPr>
      <w:b/>
      <w:bCs/>
      <w:lang w:val="en-US" w:eastAsia="en-US"/>
    </w:rPr>
  </w:style>
  <w:style w:type="character" w:styleId="TextodebaloChar" w:customStyle="1">
    <w:name w:val="Texto de balão Char"/>
    <w:basedOn w:val="DefaultParagraphFont"/>
    <w:link w:val="BalloonText"/>
    <w:uiPriority w:val="99"/>
    <w:semiHidden/>
    <w:qFormat/>
    <w:rsid w:val="00b8723b"/>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qFormat/>
    <w:rsid w:val="00f65f7e"/>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Onormal" w:customStyle="1">
    <w:name w:val="LO-normal"/>
    <w:qFormat/>
    <w:pPr>
      <w:widowControl/>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Cabealho">
    <w:name w:val="Header"/>
    <w:basedOn w:val="Normal"/>
    <w:link w:val="CabealhoChar"/>
    <w:uiPriority w:val="99"/>
    <w:unhideWhenUsed/>
    <w:rsid w:val="009c302a"/>
    <w:pPr>
      <w:tabs>
        <w:tab w:val="clear" w:pos="720"/>
        <w:tab w:val="center" w:pos="4252" w:leader="none"/>
        <w:tab w:val="right" w:pos="8504" w:leader="none"/>
      </w:tabs>
    </w:pPr>
    <w:rPr/>
  </w:style>
  <w:style w:type="paragraph" w:styleId="Rodap">
    <w:name w:val="Footer"/>
    <w:basedOn w:val="Normal"/>
    <w:link w:val="RodapChar"/>
    <w:uiPriority w:val="99"/>
    <w:unhideWhenUsed/>
    <w:rsid w:val="009c302a"/>
    <w:pPr>
      <w:tabs>
        <w:tab w:val="clear" w:pos="720"/>
        <w:tab w:val="center" w:pos="4252" w:leader="none"/>
        <w:tab w:val="right" w:pos="8504" w:leader="none"/>
      </w:tabs>
    </w:pPr>
    <w:rPr/>
  </w:style>
  <w:style w:type="paragraph" w:styleId="Annotationtext">
    <w:name w:val="annotation text"/>
    <w:basedOn w:val="Normal"/>
    <w:link w:val="TextodecomentrioChar"/>
    <w:uiPriority w:val="99"/>
    <w:unhideWhenUsed/>
    <w:qFormat/>
    <w:rsid w:val="00956e4a"/>
    <w:pPr/>
    <w:rPr>
      <w:sz w:val="20"/>
      <w:szCs w:val="20"/>
    </w:rPr>
  </w:style>
  <w:style w:type="paragraph" w:styleId="Annotationsubject">
    <w:name w:val="annotation subject"/>
    <w:basedOn w:val="Annotationtext"/>
    <w:next w:val="Annotationtext"/>
    <w:link w:val="AssuntodocomentrioChar"/>
    <w:uiPriority w:val="99"/>
    <w:semiHidden/>
    <w:unhideWhenUsed/>
    <w:qFormat/>
    <w:rsid w:val="00956e4a"/>
    <w:pPr/>
    <w:rPr>
      <w:b/>
      <w:bCs/>
    </w:rPr>
  </w:style>
  <w:style w:type="paragraph" w:styleId="Revision">
    <w:name w:val="Revision"/>
    <w:uiPriority w:val="99"/>
    <w:semiHidden/>
    <w:qFormat/>
    <w:rsid w:val="00956e4a"/>
    <w:pPr>
      <w:widowControl/>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paragraph" w:styleId="BalloonText">
    <w:name w:val="Balloon Text"/>
    <w:basedOn w:val="Normal"/>
    <w:link w:val="TextodebaloChar"/>
    <w:uiPriority w:val="99"/>
    <w:semiHidden/>
    <w:unhideWhenUsed/>
    <w:qFormat/>
    <w:rsid w:val="00b8723b"/>
    <w:pPr/>
    <w:rPr>
      <w:rFonts w:ascii="Segoe UI" w:hAnsi="Segoe UI" w:cs="Segoe UI"/>
      <w:sz w:val="18"/>
      <w:szCs w:val="18"/>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arinabaretta3@gmail.com"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LibreOffice/7.3.2.2$Windows_X86_64 LibreOffice_project/49f2b1bff42cfccbd8f788c8dc32c1c309559be0</Application>
  <AppVersion>15.0000</AppVersion>
  <Pages>2</Pages>
  <Words>1316</Words>
  <Characters>7150</Characters>
  <CharactersWithSpaces>8452</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2023-10-16T11:37:00Z</dcterms:created>
  <dc:creator>carina</dc:creator>
  <dc:description/>
  <dc:language>pt-BR</dc:language>
  <cp:lastModifiedBy>CARINA ANA BARETTA</cp:lastModifiedBy>
  <dcterms:modified xsi:type="dcterms:W3CDTF">2023-10-16T22:57:00Z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