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theme/theme1.xml" ContentType="application/vnd.openxmlformats-officedocument.theme+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LOnormal"/>
        <w:spacing w:lineRule="auto" w:line="276"/>
        <w:jc w:val="center"/>
        <w:rPr/>
      </w:pPr>
      <w:r>
        <w:rPr/>
        <w:drawing>
          <wp:anchor behindDoc="0" distT="0" distB="152400" distL="152400" distR="152400" simplePos="0" locked="0" layoutInCell="0" allowOverlap="1" relativeHeight="2">
            <wp:simplePos x="0" y="0"/>
            <wp:positionH relativeFrom="page">
              <wp:align>right</wp:align>
            </wp:positionH>
            <wp:positionV relativeFrom="page">
              <wp:align>top</wp:align>
            </wp:positionV>
            <wp:extent cx="7556500" cy="1115060"/>
            <wp:effectExtent l="0" t="0" r="0" b="0"/>
            <wp:wrapTopAndBottom/>
            <wp:docPr id="1" name="officeArt object" descr="Cabeçalho SBSS-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fficeArt object" descr="Cabeçalho SBSS-02.jpg"/>
                    <pic:cNvPicPr>
                      <a:picLocks noChangeAspect="1" noChangeArrowheads="1"/>
                    </pic:cNvPicPr>
                  </pic:nvPicPr>
                  <pic:blipFill>
                    <a:blip r:embed="rId2"/>
                    <a:stretch>
                      <a:fillRect/>
                    </a:stretch>
                  </pic:blipFill>
                  <pic:spPr bwMode="auto">
                    <a:xfrm>
                      <a:off x="0" y="0"/>
                      <a:ext cx="7556500" cy="1115060"/>
                    </a:xfrm>
                    <a:prstGeom prst="rect">
                      <a:avLst/>
                    </a:prstGeom>
                  </pic:spPr>
                </pic:pic>
              </a:graphicData>
            </a:graphic>
          </wp:anchor>
        </w:drawing>
      </w:r>
    </w:p>
    <w:p>
      <w:pPr>
        <w:pStyle w:val="LOnormal"/>
        <w:spacing w:lineRule="auto" w:line="276"/>
        <w:jc w:val="center"/>
        <w:rPr>
          <w:rFonts w:ascii="Arial" w:hAnsi="Arial" w:eastAsia="Arial" w:cs="Arial"/>
          <w:b/>
          <w:b/>
          <w:bCs/>
          <w:color w:val="000000"/>
          <w:sz w:val="28"/>
          <w:szCs w:val="28"/>
          <w:u w:val="none" w:color="000000"/>
          <w:lang w:val="pt-BR"/>
        </w:rPr>
      </w:pPr>
      <w:r>
        <w:rPr>
          <w:rFonts w:ascii="Arial" w:hAnsi="Arial"/>
          <w:b/>
          <w:bCs/>
          <w:color w:val="000000"/>
          <w:sz w:val="28"/>
          <w:szCs w:val="28"/>
          <w:u w:val="none" w:color="000000"/>
          <w:lang w:val="pt-BR"/>
        </w:rPr>
        <w:t>A assistência técnica como papel relevante para a produção leiteira a base de pasto</w:t>
      </w:r>
    </w:p>
    <w:p>
      <w:pPr>
        <w:pStyle w:val="LOnormal"/>
        <w:spacing w:lineRule="auto" w:line="276"/>
        <w:jc w:val="center"/>
        <w:rPr>
          <w:rFonts w:ascii="Arial" w:hAnsi="Arial" w:eastAsia="Arial" w:cs="Arial"/>
          <w:b/>
          <w:b/>
          <w:bCs/>
          <w:color w:val="000000"/>
          <w:sz w:val="22"/>
          <w:szCs w:val="22"/>
          <w:u w:val="none" w:color="000000"/>
          <w:lang w:val="pt-BR"/>
        </w:rPr>
      </w:pPr>
      <w:r>
        <w:rPr>
          <w:rFonts w:eastAsia="Arial" w:cs="Arial" w:ascii="Arial" w:hAnsi="Arial"/>
          <w:b/>
          <w:bCs/>
          <w:color w:val="000000"/>
          <w:sz w:val="22"/>
          <w:szCs w:val="22"/>
          <w:u w:val="none" w:color="000000"/>
          <w:lang w:val="pt-BR"/>
        </w:rPr>
      </w:r>
    </w:p>
    <w:p>
      <w:pPr>
        <w:pStyle w:val="LOnormal"/>
        <w:jc w:val="center"/>
        <w:rPr>
          <w:rFonts w:ascii="Arial" w:hAnsi="Arial" w:eastAsia="Arial" w:cs="Arial"/>
          <w:color w:val="000000"/>
          <w:sz w:val="20"/>
          <w:szCs w:val="20"/>
          <w:u w:val="none" w:color="000000"/>
          <w:lang w:val="pt-BR"/>
        </w:rPr>
      </w:pPr>
      <w:r>
        <w:rPr>
          <w:rFonts w:ascii="Arial" w:hAnsi="Arial"/>
          <w:color w:val="000000"/>
          <w:sz w:val="20"/>
          <w:szCs w:val="20"/>
          <w:u w:val="single"/>
          <w:lang w:val="pt-BR"/>
        </w:rPr>
        <w:t>Willian Zancanaro</w:t>
      </w:r>
      <w:r>
        <w:rPr>
          <w:rFonts w:ascii="Arial" w:hAnsi="Arial"/>
          <w:color w:val="000000"/>
          <w:sz w:val="20"/>
          <w:szCs w:val="20"/>
          <w:u w:val="single"/>
          <w:vertAlign w:val="superscript"/>
          <w:lang w:val="pt-BR"/>
        </w:rPr>
        <w:t>1</w:t>
      </w:r>
      <w:r>
        <w:rPr>
          <w:rFonts w:ascii="Arial" w:hAnsi="Arial"/>
          <w:color w:val="000000"/>
          <w:sz w:val="20"/>
          <w:szCs w:val="20"/>
          <w:u w:val="none" w:color="000000"/>
          <w:lang w:val="pt-BR"/>
        </w:rPr>
        <w:t>, Daniele Cristina da Silva Kazama</w:t>
      </w:r>
      <w:r>
        <w:rPr>
          <w:rFonts w:ascii="Arial" w:hAnsi="Arial"/>
          <w:color w:val="000000"/>
          <w:sz w:val="20"/>
          <w:szCs w:val="20"/>
          <w:u w:val="none" w:color="000000"/>
          <w:vertAlign w:val="superscript"/>
          <w:lang w:val="pt-BR"/>
        </w:rPr>
        <w:t>2</w:t>
      </w:r>
      <w:r>
        <w:rPr>
          <w:rFonts w:ascii="Arial" w:hAnsi="Arial"/>
          <w:color w:val="000000"/>
          <w:sz w:val="20"/>
          <w:szCs w:val="20"/>
          <w:u w:val="none" w:color="000000"/>
          <w:lang w:val="pt-BR"/>
        </w:rPr>
        <w:t xml:space="preserve"> </w:t>
      </w:r>
    </w:p>
    <w:p>
      <w:pPr>
        <w:pStyle w:val="LOnormal"/>
        <w:jc w:val="center"/>
        <w:rPr>
          <w:rFonts w:ascii="Arial" w:hAnsi="Arial" w:eastAsia="Arial" w:cs="Arial"/>
          <w:color w:val="000000"/>
          <w:sz w:val="22"/>
          <w:szCs w:val="22"/>
          <w:u w:val="none" w:color="000000"/>
          <w:lang w:val="pt-BR"/>
        </w:rPr>
      </w:pPr>
      <w:r>
        <w:rPr>
          <w:rFonts w:eastAsia="Arial" w:cs="Arial" w:ascii="Arial" w:hAnsi="Arial"/>
          <w:color w:val="000000"/>
          <w:sz w:val="22"/>
          <w:szCs w:val="22"/>
          <w:u w:val="none" w:color="000000"/>
          <w:lang w:val="pt-BR"/>
        </w:rPr>
      </w:r>
    </w:p>
    <w:p>
      <w:pPr>
        <w:pStyle w:val="LOnormal"/>
        <w:jc w:val="center"/>
        <w:rPr>
          <w:rFonts w:ascii="Arial" w:hAnsi="Arial" w:eastAsia="Arial" w:cs="Arial"/>
          <w:color w:val="000000"/>
          <w:sz w:val="20"/>
          <w:szCs w:val="20"/>
          <w:u w:val="none" w:color="000000"/>
          <w:lang w:val="pt-BR"/>
        </w:rPr>
      </w:pPr>
      <w:r>
        <w:rPr>
          <w:rFonts w:ascii="Arial" w:hAnsi="Arial"/>
          <w:color w:val="000000"/>
          <w:sz w:val="20"/>
          <w:szCs w:val="20"/>
          <w:u w:val="none" w:color="000000"/>
          <w:vertAlign w:val="superscript"/>
          <w:lang w:val="pt-BR"/>
        </w:rPr>
        <w:t>1</w:t>
      </w:r>
      <w:r>
        <w:rPr>
          <w:rFonts w:ascii="Arial" w:hAnsi="Arial"/>
          <w:color w:val="000000"/>
          <w:sz w:val="20"/>
          <w:szCs w:val="20"/>
          <w:u w:val="none" w:color="000000"/>
          <w:lang w:val="pt-BR"/>
        </w:rPr>
        <w:t xml:space="preserve"> Universidade Federal de Santa Catarina, E-mail: zancanaro534@gmail.com</w:t>
      </w:r>
    </w:p>
    <w:p>
      <w:pPr>
        <w:pStyle w:val="LOnormal"/>
        <w:jc w:val="both"/>
        <w:rPr>
          <w:rFonts w:ascii="Arial" w:hAnsi="Arial" w:eastAsia="Arial" w:cs="Arial"/>
          <w:color w:val="000000"/>
          <w:sz w:val="22"/>
          <w:szCs w:val="22"/>
          <w:u w:val="none" w:color="000000"/>
          <w:lang w:val="pt-BR"/>
        </w:rPr>
      </w:pPr>
      <w:r>
        <w:rPr>
          <w:rFonts w:eastAsia="Arial" w:cs="Arial" w:ascii="Arial" w:hAnsi="Arial"/>
          <w:color w:val="000000"/>
          <w:sz w:val="22"/>
          <w:szCs w:val="22"/>
          <w:u w:val="none" w:color="000000"/>
          <w:lang w:val="pt-BR"/>
        </w:rPr>
      </w:r>
    </w:p>
    <w:p>
      <w:pPr>
        <w:pStyle w:val="LOnormal"/>
        <w:jc w:val="both"/>
        <w:rPr>
          <w:rFonts w:ascii="Arial" w:hAnsi="Arial" w:eastAsia="Arial" w:cs="Arial"/>
          <w:color w:val="000000"/>
          <w:sz w:val="22"/>
          <w:szCs w:val="22"/>
          <w:u w:val="none" w:color="000000"/>
          <w:lang w:val="pt-BR"/>
        </w:rPr>
      </w:pPr>
      <w:r>
        <w:rPr>
          <w:rFonts w:ascii="Arial" w:hAnsi="Arial"/>
          <w:b/>
          <w:bCs/>
          <w:color w:val="000000"/>
          <w:sz w:val="22"/>
          <w:szCs w:val="22"/>
          <w:u w:val="none" w:color="000000"/>
          <w:lang w:val="pt-BR"/>
        </w:rPr>
        <w:t>Contribuição para a sociedade</w:t>
      </w:r>
      <w:r>
        <w:rPr>
          <w:rFonts w:cs="Arial" w:ascii="Arial" w:hAnsi="Arial"/>
          <w:b/>
          <w:bCs/>
          <w:color w:val="000000"/>
          <w:sz w:val="22"/>
          <w:szCs w:val="22"/>
          <w:u w:val="none" w:color="000000"/>
          <w:lang w:val="pt-BR"/>
        </w:rPr>
        <w:t>:</w:t>
      </w:r>
      <w:r>
        <w:rPr>
          <w:rFonts w:cs="Arial" w:ascii="Arial" w:hAnsi="Arial"/>
          <w:sz w:val="22"/>
          <w:szCs w:val="22"/>
          <w:lang w:val="pt-BR"/>
        </w:rPr>
        <w:t xml:space="preserve"> o presente trabalho, visa mostrar a importância de uma assistência técnica em uma propriedade leiteira, pois um conhecimento da parte química e científica é capaz de tornar o sistema de produção muito mais eficiente, equilibrando os nutrientes da ração, melhorando o manejo e produtividade do pasto, resultando assim em melhor lucratividade, segurança alimentar e sustentabilidade da produção. O objetivo da propriedade descrita a seguir, foi ter um acompanhamento técnico, principalmente para a formulação de ração. Um profissional zootecnista propôs um acompanhamento mensal, sempre atualizando a formulação da dieta, fazendo um planejamento forrageiro e como melhorar o manejo com o pasto. Tudo isso se cumpriu, resultando em maior produção, aumento da taxa de lotação, e melhora da qualidade do pasto, melhores índices reprodutivos e econômicos.  </w:t>
      </w:r>
    </w:p>
    <w:p>
      <w:pPr>
        <w:pStyle w:val="Normal"/>
        <w:jc w:val="both"/>
        <w:rPr>
          <w:rFonts w:ascii="Arial" w:hAnsi="Arial" w:cs="Arial"/>
          <w:sz w:val="22"/>
          <w:szCs w:val="22"/>
          <w:lang w:val="pt-BR"/>
        </w:rPr>
      </w:pPr>
      <w:r>
        <w:rPr>
          <w:rFonts w:cs="Arial" w:ascii="Arial" w:hAnsi="Arial"/>
          <w:sz w:val="22"/>
          <w:szCs w:val="22"/>
          <w:lang w:val="pt-BR"/>
        </w:rPr>
      </w:r>
    </w:p>
    <w:p>
      <w:pPr>
        <w:pStyle w:val="LOnormal"/>
        <w:jc w:val="both"/>
        <w:rPr>
          <w:rFonts w:ascii="Arial" w:hAnsi="Arial" w:eastAsia="Arial" w:cs="Arial"/>
          <w:color w:val="000000"/>
          <w:sz w:val="20"/>
          <w:szCs w:val="22"/>
          <w:u w:val="none" w:color="000000"/>
          <w:lang w:val="pt-BR"/>
        </w:rPr>
      </w:pPr>
      <w:r>
        <w:rPr>
          <w:rFonts w:ascii="Arial" w:hAnsi="Arial"/>
          <w:b/>
          <w:bCs/>
          <w:color w:val="000000"/>
          <w:sz w:val="22"/>
          <w:szCs w:val="22"/>
          <w:u w:val="none" w:color="000000"/>
          <w:lang w:val="pt-BR"/>
        </w:rPr>
        <w:t>Palavras-chave</w:t>
      </w:r>
      <w:r>
        <w:rPr>
          <w:rFonts w:ascii="Arial" w:hAnsi="Arial"/>
          <w:color w:val="000000"/>
          <w:sz w:val="22"/>
          <w:szCs w:val="22"/>
          <w:u w:val="none" w:color="000000"/>
          <w:lang w:val="pt-BR"/>
        </w:rPr>
        <w:t xml:space="preserve">: </w:t>
      </w:r>
      <w:r>
        <w:rPr>
          <w:rFonts w:cs="Arial" w:ascii="Arial" w:hAnsi="Arial"/>
          <w:sz w:val="22"/>
          <w:lang w:val="pt-BR"/>
        </w:rPr>
        <w:t>Bovinocultura de leite, planejamento forrageiro, lucratividade, aumento de produção.</w:t>
      </w:r>
    </w:p>
    <w:p>
      <w:pPr>
        <w:pStyle w:val="LOnormal"/>
        <w:jc w:val="both"/>
        <w:rPr>
          <w:rFonts w:ascii="Arial" w:hAnsi="Arial" w:eastAsia="Arial" w:cs="Arial"/>
          <w:color w:val="000000"/>
          <w:sz w:val="22"/>
          <w:szCs w:val="22"/>
          <w:u w:val="none" w:color="000000"/>
          <w:lang w:val="pt-BR"/>
        </w:rPr>
      </w:pPr>
      <w:r>
        <w:rPr>
          <w:rFonts w:eastAsia="Arial" w:cs="Arial" w:ascii="Arial" w:hAnsi="Arial"/>
          <w:color w:val="000000"/>
          <w:sz w:val="22"/>
          <w:szCs w:val="22"/>
          <w:u w:val="none" w:color="000000"/>
          <w:lang w:val="pt-BR"/>
        </w:rPr>
      </w:r>
    </w:p>
    <w:p>
      <w:pPr>
        <w:pStyle w:val="Normal"/>
        <w:jc w:val="both"/>
        <w:rPr>
          <w:rFonts w:ascii="Arial" w:hAnsi="Arial" w:cs="Arial"/>
          <w:sz w:val="22"/>
          <w:szCs w:val="22"/>
          <w:lang w:val="pt-BR"/>
        </w:rPr>
      </w:pPr>
      <w:r>
        <w:rPr>
          <w:rFonts w:ascii="Arial" w:hAnsi="Arial"/>
          <w:b/>
          <w:bCs/>
          <w:color w:val="000000"/>
          <w:sz w:val="22"/>
          <w:szCs w:val="22"/>
          <w:u w:val="none" w:color="000000"/>
          <w:lang w:val="pt-BR"/>
        </w:rPr>
        <w:t>Descrição do caso:</w:t>
      </w:r>
      <w:r>
        <w:rPr>
          <w:rFonts w:ascii="Arial" w:hAnsi="Arial"/>
          <w:color w:val="000000"/>
          <w:sz w:val="22"/>
          <w:szCs w:val="22"/>
          <w:u w:val="none" w:color="000000"/>
          <w:lang w:val="pt-BR"/>
        </w:rPr>
        <w:t xml:space="preserve"> </w:t>
      </w:r>
      <w:r>
        <w:rPr>
          <w:rFonts w:cs="Arial" w:ascii="Arial" w:hAnsi="Arial"/>
          <w:sz w:val="22"/>
          <w:szCs w:val="22"/>
          <w:lang w:val="pt-BR"/>
        </w:rPr>
        <w:t xml:space="preserve">a propriedade está localizada no município de Xavantina, Santa Catarina, na linha quatro irmãos e possuí 24 hectares de área total. Essa área era destinada para pastagem das vacas em lactação (6,5 ha), em torno de dois hectares era para plantio de milho, para moer com palha e sabugo, em 3,5 hectares ficavam as vacas secas, essa área não recebia nenhum tipo de manejo, nem adubação, o restante da propriedade era composto por mata, corredores, rios e riachos, moradia e construções rurais. Uma área de cinco hectares é arrendada anualmente para o plantio de milho para silagem. </w:t>
      </w:r>
    </w:p>
    <w:p>
      <w:pPr>
        <w:pStyle w:val="Normal"/>
        <w:jc w:val="both"/>
        <w:rPr>
          <w:rFonts w:ascii="Arial" w:hAnsi="Arial" w:cs="Arial"/>
          <w:sz w:val="22"/>
          <w:szCs w:val="22"/>
          <w:lang w:val="pt-BR"/>
        </w:rPr>
      </w:pPr>
      <w:r>
        <w:rPr>
          <w:rFonts w:cs="Arial" w:ascii="Arial" w:hAnsi="Arial"/>
          <w:sz w:val="22"/>
          <w:szCs w:val="22"/>
          <w:lang w:val="pt-BR"/>
        </w:rPr>
        <w:t>A cria e recria das novilhas de reposição, sem muito controle, viviam depois de 10 meses junto com as vacas leiteiras, em piquetes rotacio</w:t>
      </w:r>
      <w:bookmarkStart w:id="0" w:name="_GoBack"/>
      <w:bookmarkEnd w:id="0"/>
      <w:r>
        <w:rPr>
          <w:rFonts w:cs="Arial" w:ascii="Arial" w:hAnsi="Arial"/>
          <w:sz w:val="22"/>
          <w:szCs w:val="22"/>
          <w:lang w:val="pt-BR"/>
        </w:rPr>
        <w:t>nados de forma incorreta. O plantel das vacas leiteiras era de 26 animais sendo a maioria absoluta da raça holandês. A dieta era composta de milho desintegrado com palha e sabugo (quirelão) misturado com farelo de soja e núcleo. A pastagem, que permanece a mesma até os dias de hoje, era composta basicamente por tifton (</w:t>
      </w:r>
      <w:r>
        <w:rPr>
          <w:rFonts w:cs="Arial" w:ascii="Arial" w:hAnsi="Arial"/>
          <w:i/>
          <w:color w:val="202124"/>
          <w:sz w:val="22"/>
          <w:szCs w:val="22"/>
          <w:shd w:fill="FFFFFF" w:val="clear"/>
          <w:lang w:val="pt-BR"/>
        </w:rPr>
        <w:t>Cynodon spp</w:t>
      </w:r>
      <w:r>
        <w:rPr>
          <w:rFonts w:cs="Arial" w:ascii="Arial" w:hAnsi="Arial"/>
          <w:sz w:val="22"/>
          <w:szCs w:val="22"/>
          <w:lang w:val="pt-BR"/>
        </w:rPr>
        <w:t>), jiggs (</w:t>
      </w:r>
      <w:r>
        <w:rPr>
          <w:rFonts w:cs="Arial" w:ascii="Arial" w:hAnsi="Arial"/>
          <w:i/>
          <w:color w:val="040C28"/>
          <w:sz w:val="22"/>
          <w:szCs w:val="22"/>
          <w:lang w:val="pt-BR"/>
        </w:rPr>
        <w:t>Cynodon dactylon</w:t>
      </w:r>
      <w:r>
        <w:rPr>
          <w:rFonts w:cs="Arial" w:ascii="Arial" w:hAnsi="Arial"/>
          <w:color w:val="040C28"/>
          <w:sz w:val="22"/>
          <w:szCs w:val="22"/>
          <w:lang w:val="pt-BR"/>
        </w:rPr>
        <w:t>)</w:t>
      </w:r>
      <w:r>
        <w:rPr>
          <w:rFonts w:cs="Arial" w:ascii="Arial" w:hAnsi="Arial"/>
          <w:sz w:val="22"/>
          <w:szCs w:val="22"/>
          <w:lang w:val="pt-BR"/>
        </w:rPr>
        <w:t>, e hemarthria (</w:t>
      </w:r>
      <w:r>
        <w:rPr>
          <w:rFonts w:cs="Arial" w:ascii="Arial" w:hAnsi="Arial"/>
          <w:bCs/>
          <w:i/>
          <w:color w:val="202124"/>
          <w:sz w:val="22"/>
          <w:szCs w:val="22"/>
          <w:shd w:fill="FFFFFF" w:val="clear"/>
          <w:lang w:val="pt-BR"/>
        </w:rPr>
        <w:t>Hemarthria altíssima</w:t>
      </w:r>
      <w:r>
        <w:rPr>
          <w:rFonts w:cs="Arial" w:ascii="Arial" w:hAnsi="Arial"/>
          <w:sz w:val="22"/>
          <w:szCs w:val="22"/>
          <w:lang w:val="pt-BR"/>
        </w:rPr>
        <w:t>), com sobressemeadura de aveia (</w:t>
      </w:r>
      <w:r>
        <w:rPr>
          <w:rFonts w:cs="Arial" w:ascii="Arial" w:hAnsi="Arial"/>
          <w:i/>
          <w:sz w:val="22"/>
          <w:szCs w:val="22"/>
          <w:lang w:val="pt-BR"/>
        </w:rPr>
        <w:t>Avena strigosa</w:t>
      </w:r>
      <w:r>
        <w:rPr>
          <w:rFonts w:cs="Arial" w:ascii="Arial" w:hAnsi="Arial"/>
          <w:sz w:val="22"/>
          <w:szCs w:val="22"/>
          <w:lang w:val="pt-BR"/>
        </w:rPr>
        <w:t>) e azevém (</w:t>
      </w:r>
      <w:r>
        <w:rPr>
          <w:rFonts w:cs="Arial" w:ascii="Arial" w:hAnsi="Arial"/>
          <w:i/>
          <w:sz w:val="22"/>
          <w:szCs w:val="22"/>
          <w:lang w:val="pt-BR"/>
        </w:rPr>
        <w:t>Lolium Multiflorum</w:t>
      </w:r>
      <w:r>
        <w:rPr>
          <w:rFonts w:cs="Arial" w:ascii="Arial" w:hAnsi="Arial"/>
          <w:sz w:val="22"/>
          <w:szCs w:val="22"/>
          <w:lang w:val="pt-BR"/>
        </w:rPr>
        <w:t xml:space="preserve">) no inverno, também recebiam silagem de milho no inverno e começo da primavera. A média de produção girava em torno de 13 litros por vaca por dia. </w:t>
      </w:r>
    </w:p>
    <w:p>
      <w:pPr>
        <w:pStyle w:val="Normal"/>
        <w:jc w:val="both"/>
        <w:rPr>
          <w:rFonts w:ascii="Arial" w:hAnsi="Arial" w:cs="Arial"/>
          <w:sz w:val="22"/>
          <w:szCs w:val="22"/>
          <w:lang w:val="pt-BR"/>
        </w:rPr>
      </w:pPr>
      <w:r>
        <w:rPr>
          <w:rFonts w:cs="Arial" w:ascii="Arial" w:hAnsi="Arial"/>
          <w:sz w:val="22"/>
          <w:szCs w:val="22"/>
          <w:lang w:val="pt-BR"/>
        </w:rPr>
        <w:t>O objetivo da assistência técnica, iniciada em junho de 2020, foi corrigir falhas que vinham sendo cometidas na propriedade, para ter melhores índices produtivo, reprodutivo e econômico. A primeira medida adotada pelo Zootecnista Roberto Fornazier, foi uma nova formulação de dieta com os alimentos que já haviam sido adquiridos e estavam disponíveis na propriedade. Sua primeira recomendação foi de praticamente dobrar a quantidade de ração fornecida por animal, com base na fase de lactação em que se encontravam. Só depois então começou a indicar qual núcleo e ingredientes teriam o melhor custo benefício. A segunda medida adotada, foi fazer um mapeamento da área, propor a nova divisão de piquetes, bem como o cálculo de silagem necessária, e determinação da área de plantio.</w:t>
      </w:r>
    </w:p>
    <w:p>
      <w:pPr>
        <w:pStyle w:val="Normal"/>
        <w:ind w:firstLine="708"/>
        <w:jc w:val="both"/>
        <w:rPr>
          <w:rFonts w:ascii="Arial" w:hAnsi="Arial" w:cs="Arial"/>
          <w:sz w:val="22"/>
          <w:szCs w:val="22"/>
          <w:lang w:val="pt-BR"/>
        </w:rPr>
      </w:pPr>
      <w:r>
        <w:rPr>
          <w:rFonts w:cs="Arial" w:ascii="Arial" w:hAnsi="Arial"/>
          <w:sz w:val="22"/>
          <w:szCs w:val="22"/>
          <w:lang w:val="pt-BR"/>
        </w:rPr>
      </w:r>
    </w:p>
    <w:p>
      <w:pPr>
        <w:pStyle w:val="Normal"/>
        <w:jc w:val="both"/>
        <w:rPr>
          <w:rFonts w:ascii="Arial" w:hAnsi="Arial" w:cs="Arial"/>
          <w:sz w:val="22"/>
          <w:lang w:val="pt-BR"/>
        </w:rPr>
      </w:pPr>
      <w:r>
        <w:rPr>
          <w:rFonts w:ascii="Arial" w:hAnsi="Arial"/>
          <w:b/>
          <w:bCs/>
          <w:color w:val="000000"/>
          <w:sz w:val="22"/>
          <w:szCs w:val="22"/>
          <w:u w:val="none" w:color="000000"/>
          <w:lang w:val="pt-BR"/>
        </w:rPr>
        <w:t xml:space="preserve">Resultados: </w:t>
      </w:r>
      <w:r>
        <w:rPr>
          <w:rFonts w:cs="Arial" w:ascii="Arial" w:hAnsi="Arial"/>
          <w:sz w:val="22"/>
          <w:lang w:val="pt-BR"/>
        </w:rPr>
        <w:t>os resultados começaram a aparecer nos primeiros dias, devido o aumento na quantidade de ração fornecida</w:t>
      </w:r>
      <w:r>
        <w:drawing>
          <wp:anchor behindDoc="0" distT="0" distB="152400" distL="152400" distR="152400" simplePos="0" locked="0" layoutInCell="0" allowOverlap="1" relativeHeight="3">
            <wp:simplePos x="0" y="0"/>
            <wp:positionH relativeFrom="page">
              <wp:align>left</wp:align>
            </wp:positionH>
            <wp:positionV relativeFrom="page">
              <wp:align>top</wp:align>
            </wp:positionV>
            <wp:extent cx="7556500" cy="1115060"/>
            <wp:effectExtent l="0" t="0" r="0" b="0"/>
            <wp:wrapTopAndBottom/>
            <wp:docPr id="2" name="Figura1" descr="Cabeçalho SBSS-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1" descr="Cabeçalho SBSS-02.jpg"/>
                    <pic:cNvPicPr>
                      <a:picLocks noChangeAspect="1" noChangeArrowheads="1"/>
                    </pic:cNvPicPr>
                  </pic:nvPicPr>
                  <pic:blipFill>
                    <a:blip r:embed="rId3"/>
                    <a:stretch>
                      <a:fillRect/>
                    </a:stretch>
                  </pic:blipFill>
                  <pic:spPr bwMode="auto">
                    <a:xfrm>
                      <a:off x="0" y="0"/>
                      <a:ext cx="7556500" cy="1115060"/>
                    </a:xfrm>
                    <a:prstGeom prst="rect">
                      <a:avLst/>
                    </a:prstGeom>
                  </pic:spPr>
                </pic:pic>
              </a:graphicData>
            </a:graphic>
          </wp:anchor>
        </w:drawing>
      </w:r>
      <w:r>
        <w:rPr>
          <w:rFonts w:cs="Arial" w:ascii="Arial" w:hAnsi="Arial"/>
          <w:sz w:val="22"/>
          <w:lang w:val="pt-BR"/>
        </w:rPr>
        <w:t xml:space="preserve">. Um problema que estava ocorrendo na propriedade antes de começar com a assistência, era uma taxa de prenhes muito abaixo do recomendado, a maioria das vacas estavam em lactação há mais de seis meses e a grande maioria ainda não estava prenha, Roberto olhou as análises de leite feito pelo laticínio, e constatou que o nitrogênio ureíco do leite estava elevado, assim como descrito por Almeida (2012) que cita como ideal para vacas da raça holandês níveis entre 10 e 14mg/dL de leite. Antes da assistência técnica, esses valores estavam entre 17 a 18 mg/dL, indicando alta proteína na dieta, que possuí relação direta com baixa fertilidade. </w:t>
      </w:r>
    </w:p>
    <w:p>
      <w:pPr>
        <w:pStyle w:val="Normal"/>
        <w:jc w:val="both"/>
        <w:rPr>
          <w:rFonts w:ascii="Arial" w:hAnsi="Arial" w:cs="Arial"/>
          <w:sz w:val="22"/>
          <w:lang w:val="pt-BR"/>
        </w:rPr>
      </w:pPr>
      <w:r>
        <w:rPr>
          <w:rFonts w:cs="Arial" w:ascii="Arial" w:hAnsi="Arial"/>
          <w:sz w:val="22"/>
          <w:lang w:val="pt-BR"/>
        </w:rPr>
        <w:t>Após ajuste e aumento da quantidade de ração, não apenas a quantidade de leite aumentou, assim como muitas vacas começaram a manifestar cio, devido balanço energético positivo da nova dieta. Um novo tipo de núcleo começou a ser usado, esse com monensina sódica, favorecendo alguns microrganismos ruminais, garantindo um desempenho melhor.  Outro ponto importante, que melhorou a lucratividade, foi através de cálculos, verificando que o processo antigo de coletar a espiga manualmente, não era mais viável, pois além do custo da lavoura, ainda havia perda no armazenamento (roedores), risco de micotoxinas, devido ao local de armazenamento conter goteiras e pelo excesso de mão de obra necessária para colher e moer a espiga manualmente.</w:t>
      </w:r>
    </w:p>
    <w:p>
      <w:pPr>
        <w:pStyle w:val="Normal"/>
        <w:jc w:val="both"/>
        <w:rPr>
          <w:rFonts w:ascii="Arial" w:hAnsi="Arial" w:cs="Arial"/>
          <w:sz w:val="22"/>
          <w:lang w:val="pt-BR"/>
        </w:rPr>
      </w:pPr>
      <w:r>
        <w:rPr>
          <w:rFonts w:cs="Arial" w:ascii="Arial" w:hAnsi="Arial"/>
          <w:sz w:val="22"/>
          <w:lang w:val="pt-BR"/>
        </w:rPr>
        <w:t>A pastagem, antes com poucos piquetes, resultando em poucos dias de descanso, passou para um total de aproximadamente 50 piquetes, sendo alguns do estilo faixa, com divisória central móvel, variando de dois a três piquetes, a depender da oferta. Esse novo manejo possibilitou um aumento da produção de forragem, aumentou a taxa de lotação, hoje com um total de 32 vacas em lactação, produzindo uma média de 21 litros por animal dia (Tabela 1).</w:t>
      </w:r>
    </w:p>
    <w:p>
      <w:pPr>
        <w:pStyle w:val="Normal"/>
        <w:ind w:firstLine="708"/>
        <w:jc w:val="both"/>
        <w:rPr>
          <w:rFonts w:ascii="Arial" w:hAnsi="Arial" w:cs="Arial"/>
          <w:sz w:val="22"/>
          <w:lang w:val="pt-BR"/>
        </w:rPr>
      </w:pPr>
      <w:r>
        <w:rPr>
          <w:rFonts w:cs="Arial" w:ascii="Arial" w:hAnsi="Arial"/>
          <w:sz w:val="22"/>
          <w:lang w:val="pt-BR"/>
        </w:rPr>
      </w:r>
    </w:p>
    <w:p>
      <w:pPr>
        <w:pStyle w:val="Normal"/>
        <w:jc w:val="both"/>
        <w:rPr>
          <w:rFonts w:ascii="Arial" w:hAnsi="Arial" w:cs="Arial"/>
          <w:sz w:val="22"/>
          <w:lang w:val="pt-BR"/>
        </w:rPr>
      </w:pPr>
      <w:r>
        <w:rPr>
          <w:rFonts w:cs="Arial" w:ascii="Arial" w:hAnsi="Arial"/>
          <w:sz w:val="22"/>
          <w:lang w:val="pt-BR"/>
        </w:rPr>
        <w:t>Tabela 1: evolução anual dos índices técnicos da propriedade e meta a ser alcançada em 2025</w:t>
      </w:r>
    </w:p>
    <w:p>
      <w:pPr>
        <w:pStyle w:val="Normal"/>
        <w:jc w:val="both"/>
        <w:rPr>
          <w:rFonts w:ascii="Arial" w:hAnsi="Arial" w:cs="Arial"/>
          <w:sz w:val="22"/>
          <w:lang w:val="pt-BR"/>
        </w:rPr>
      </w:pPr>
      <w:r>
        <w:rPr>
          <w:rFonts w:cs="Arial" w:ascii="Arial" w:hAnsi="Arial"/>
          <w:sz w:val="22"/>
          <w:lang w:val="pt-BR"/>
        </w:rPr>
      </w:r>
    </w:p>
    <w:tbl>
      <w:tblPr>
        <w:tblStyle w:val="Tabelacomgrade"/>
        <w:tblW w:w="9063" w:type="dxa"/>
        <w:jc w:val="left"/>
        <w:tblInd w:w="0" w:type="dxa"/>
        <w:tblLayout w:type="fixed"/>
        <w:tblCellMar>
          <w:top w:w="0" w:type="dxa"/>
          <w:left w:w="0" w:type="dxa"/>
          <w:bottom w:w="0" w:type="dxa"/>
          <w:right w:w="0" w:type="dxa"/>
        </w:tblCellMar>
        <w:tblLook w:firstRow="1" w:noVBand="1" w:lastRow="0" w:firstColumn="1" w:lastColumn="0" w:noHBand="0" w:val="04a0"/>
      </w:tblPr>
      <w:tblGrid>
        <w:gridCol w:w="4050"/>
        <w:gridCol w:w="809"/>
        <w:gridCol w:w="684"/>
        <w:gridCol w:w="662"/>
        <w:gridCol w:w="900"/>
        <w:gridCol w:w="900"/>
        <w:gridCol w:w="1057"/>
      </w:tblGrid>
      <w:tr>
        <w:trPr/>
        <w:tc>
          <w:tcPr>
            <w:tcW w:w="4050" w:type="dxa"/>
            <w:tcBorders>
              <w:left w:val="nil"/>
            </w:tcBorders>
            <w:vAlign w:val="center"/>
          </w:tcPr>
          <w:p>
            <w:pPr>
              <w:pStyle w:val="Normal"/>
              <w:widowControl w:val="false"/>
              <w:spacing w:before="0" w:after="0"/>
              <w:jc w:val="center"/>
              <w:rPr>
                <w:rFonts w:ascii="Arial" w:hAnsi="Arial" w:cs="Arial"/>
                <w:sz w:val="20"/>
                <w:szCs w:val="20"/>
                <w:lang w:val="pt-BR"/>
              </w:rPr>
            </w:pPr>
            <w:r>
              <w:rPr>
                <w:rFonts w:eastAsia="Arial Unicode MS" w:cs="Arial" w:ascii="Arial" w:hAnsi="Arial"/>
                <w:kern w:val="0"/>
                <w:sz w:val="20"/>
                <w:szCs w:val="20"/>
                <w:lang w:val="pt-BR" w:bidi="ar-SA"/>
              </w:rPr>
              <w:t>Ano</w:t>
            </w:r>
          </w:p>
        </w:tc>
        <w:tc>
          <w:tcPr>
            <w:tcW w:w="809" w:type="dxa"/>
            <w:tcBorders>
              <w:right w:val="nil"/>
            </w:tcBorders>
            <w:vAlign w:val="center"/>
          </w:tcPr>
          <w:p>
            <w:pPr>
              <w:pStyle w:val="Normal"/>
              <w:widowControl w:val="false"/>
              <w:spacing w:before="0" w:after="0"/>
              <w:jc w:val="center"/>
              <w:rPr>
                <w:rFonts w:ascii="Arial" w:hAnsi="Arial" w:cs="Arial"/>
                <w:sz w:val="20"/>
                <w:szCs w:val="20"/>
                <w:lang w:val="pt-BR"/>
              </w:rPr>
            </w:pPr>
            <w:r>
              <w:rPr>
                <w:rFonts w:eastAsia="Times New Roman" w:cs="Arial" w:ascii="Arial" w:hAnsi="Arial"/>
                <w:bCs/>
                <w:color w:val="000000"/>
                <w:kern w:val="0"/>
                <w:sz w:val="20"/>
                <w:szCs w:val="20"/>
                <w:lang w:val="pt-BR" w:eastAsia="pt-BR" w:bidi="ar-SA"/>
              </w:rPr>
              <w:t>2019</w:t>
            </w:r>
          </w:p>
        </w:tc>
        <w:tc>
          <w:tcPr>
            <w:tcW w:w="684" w:type="dxa"/>
            <w:tcBorders>
              <w:left w:val="nil"/>
              <w:right w:val="nil"/>
            </w:tcBorders>
            <w:vAlign w:val="center"/>
          </w:tcPr>
          <w:p>
            <w:pPr>
              <w:pStyle w:val="Normal"/>
              <w:widowControl w:val="false"/>
              <w:spacing w:before="0" w:after="0"/>
              <w:jc w:val="center"/>
              <w:rPr>
                <w:rFonts w:ascii="Arial" w:hAnsi="Arial" w:cs="Arial"/>
                <w:sz w:val="20"/>
                <w:szCs w:val="20"/>
                <w:lang w:val="pt-BR"/>
              </w:rPr>
            </w:pPr>
            <w:r>
              <w:rPr>
                <w:rFonts w:eastAsia="Times New Roman" w:cs="Arial" w:ascii="Arial" w:hAnsi="Arial"/>
                <w:bCs/>
                <w:color w:val="000000"/>
                <w:kern w:val="0"/>
                <w:sz w:val="20"/>
                <w:szCs w:val="20"/>
                <w:lang w:val="pt-BR" w:eastAsia="pt-BR" w:bidi="ar-SA"/>
              </w:rPr>
              <w:t>2020</w:t>
            </w:r>
          </w:p>
        </w:tc>
        <w:tc>
          <w:tcPr>
            <w:tcW w:w="662" w:type="dxa"/>
            <w:tcBorders>
              <w:left w:val="nil"/>
              <w:right w:val="nil"/>
            </w:tcBorders>
            <w:vAlign w:val="center"/>
          </w:tcPr>
          <w:p>
            <w:pPr>
              <w:pStyle w:val="Normal"/>
              <w:widowControl w:val="false"/>
              <w:spacing w:before="0" w:after="0"/>
              <w:jc w:val="center"/>
              <w:rPr>
                <w:rFonts w:ascii="Arial" w:hAnsi="Arial" w:cs="Arial"/>
                <w:sz w:val="20"/>
                <w:szCs w:val="20"/>
                <w:lang w:val="pt-BR"/>
              </w:rPr>
            </w:pPr>
            <w:r>
              <w:rPr>
                <w:rFonts w:eastAsia="Times New Roman" w:cs="Arial" w:ascii="Arial" w:hAnsi="Arial"/>
                <w:bCs/>
                <w:color w:val="000000"/>
                <w:kern w:val="0"/>
                <w:sz w:val="20"/>
                <w:szCs w:val="20"/>
                <w:lang w:val="pt-BR" w:eastAsia="pt-BR" w:bidi="ar-SA"/>
              </w:rPr>
              <w:t>2021</w:t>
            </w:r>
          </w:p>
        </w:tc>
        <w:tc>
          <w:tcPr>
            <w:tcW w:w="900" w:type="dxa"/>
            <w:tcBorders>
              <w:left w:val="nil"/>
              <w:right w:val="nil"/>
            </w:tcBorders>
            <w:vAlign w:val="center"/>
          </w:tcPr>
          <w:p>
            <w:pPr>
              <w:pStyle w:val="Normal"/>
              <w:widowControl w:val="false"/>
              <w:spacing w:before="0" w:after="0"/>
              <w:jc w:val="center"/>
              <w:rPr>
                <w:rFonts w:ascii="Arial" w:hAnsi="Arial" w:cs="Arial"/>
                <w:sz w:val="20"/>
                <w:szCs w:val="20"/>
                <w:lang w:val="pt-BR"/>
              </w:rPr>
            </w:pPr>
            <w:r>
              <w:rPr>
                <w:rFonts w:eastAsia="Times New Roman" w:cs="Arial" w:ascii="Arial" w:hAnsi="Arial"/>
                <w:bCs/>
                <w:color w:val="000000"/>
                <w:kern w:val="0"/>
                <w:sz w:val="20"/>
                <w:szCs w:val="20"/>
                <w:lang w:val="pt-BR" w:eastAsia="pt-BR" w:bidi="ar-SA"/>
              </w:rPr>
              <w:t>2022</w:t>
            </w:r>
          </w:p>
        </w:tc>
        <w:tc>
          <w:tcPr>
            <w:tcW w:w="900" w:type="dxa"/>
            <w:tcBorders>
              <w:left w:val="nil"/>
              <w:right w:val="nil"/>
            </w:tcBorders>
            <w:vAlign w:val="center"/>
          </w:tcPr>
          <w:p>
            <w:pPr>
              <w:pStyle w:val="Normal"/>
              <w:widowControl w:val="false"/>
              <w:spacing w:before="0" w:after="0"/>
              <w:jc w:val="center"/>
              <w:rPr>
                <w:rFonts w:ascii="Arial" w:hAnsi="Arial" w:cs="Arial"/>
                <w:sz w:val="20"/>
                <w:szCs w:val="20"/>
                <w:lang w:val="pt-BR"/>
              </w:rPr>
            </w:pPr>
            <w:r>
              <w:rPr>
                <w:rFonts w:eastAsia="Times New Roman" w:cs="Arial" w:ascii="Arial" w:hAnsi="Arial"/>
                <w:bCs/>
                <w:color w:val="000000"/>
                <w:kern w:val="0"/>
                <w:sz w:val="20"/>
                <w:szCs w:val="20"/>
                <w:lang w:val="pt-BR" w:eastAsia="pt-BR" w:bidi="ar-SA"/>
              </w:rPr>
              <w:t>2023</w:t>
            </w:r>
          </w:p>
        </w:tc>
        <w:tc>
          <w:tcPr>
            <w:tcW w:w="1057" w:type="dxa"/>
            <w:tcBorders>
              <w:left w:val="nil"/>
              <w:right w:val="nil"/>
            </w:tcBorders>
            <w:vAlign w:val="center"/>
          </w:tcPr>
          <w:p>
            <w:pPr>
              <w:pStyle w:val="Normal"/>
              <w:widowControl w:val="false"/>
              <w:spacing w:before="0" w:after="0"/>
              <w:jc w:val="center"/>
              <w:rPr>
                <w:rFonts w:ascii="Arial" w:hAnsi="Arial" w:cs="Arial"/>
                <w:sz w:val="20"/>
                <w:szCs w:val="20"/>
                <w:lang w:val="pt-BR"/>
              </w:rPr>
            </w:pPr>
            <w:r>
              <w:rPr>
                <w:rFonts w:eastAsia="Times New Roman" w:cs="Arial" w:ascii="Arial" w:hAnsi="Arial"/>
                <w:bCs/>
                <w:color w:val="000000"/>
                <w:kern w:val="0"/>
                <w:sz w:val="20"/>
                <w:szCs w:val="20"/>
                <w:lang w:val="pt-BR" w:eastAsia="pt-BR" w:bidi="ar-SA"/>
              </w:rPr>
              <w:t>Meta (2025)</w:t>
            </w:r>
          </w:p>
        </w:tc>
      </w:tr>
      <w:tr>
        <w:trPr/>
        <w:tc>
          <w:tcPr>
            <w:tcW w:w="4050" w:type="dxa"/>
            <w:tcBorders>
              <w:left w:val="nil"/>
              <w:bottom w:val="nil"/>
            </w:tcBorders>
          </w:tcPr>
          <w:p>
            <w:pPr>
              <w:pStyle w:val="Normal"/>
              <w:widowControl/>
              <w:pBdr/>
              <w:spacing w:before="0" w:after="0"/>
              <w:jc w:val="both"/>
              <w:rPr>
                <w:rFonts w:ascii="Arial" w:hAnsi="Arial" w:cs="Arial"/>
                <w:sz w:val="20"/>
                <w:szCs w:val="20"/>
                <w:lang w:val="pt-BR"/>
              </w:rPr>
            </w:pPr>
            <w:r>
              <w:rPr>
                <w:rFonts w:eastAsia="Arial Unicode MS" w:cs="Arial" w:ascii="Arial" w:hAnsi="Arial"/>
                <w:kern w:val="0"/>
                <w:sz w:val="20"/>
                <w:szCs w:val="20"/>
                <w:lang w:val="pt-BR" w:bidi="ar-SA"/>
              </w:rPr>
              <w:t>Número de vacas em lactação</w:t>
            </w:r>
          </w:p>
        </w:tc>
        <w:tc>
          <w:tcPr>
            <w:tcW w:w="809" w:type="dxa"/>
            <w:tcBorders>
              <w:bottom w:val="nil"/>
              <w:right w:val="nil"/>
            </w:tcBorders>
            <w:vAlign w:val="bottom"/>
          </w:tcPr>
          <w:p>
            <w:pPr>
              <w:pStyle w:val="Normal"/>
              <w:widowControl/>
              <w:pBdr/>
              <w:spacing w:before="0" w:after="0"/>
              <w:jc w:val="center"/>
              <w:rPr>
                <w:rFonts w:ascii="Arial" w:hAnsi="Arial" w:eastAsia="Times New Roman" w:cs="Arial"/>
                <w:color w:val="000000"/>
                <w:sz w:val="20"/>
                <w:szCs w:val="20"/>
                <w:lang w:val="pt-BR" w:eastAsia="pt-BR"/>
              </w:rPr>
            </w:pPr>
            <w:r>
              <w:rPr>
                <w:rFonts w:eastAsia="Times New Roman" w:cs="Arial" w:ascii="Arial" w:hAnsi="Arial"/>
                <w:color w:val="000000"/>
                <w:kern w:val="0"/>
                <w:sz w:val="20"/>
                <w:szCs w:val="20"/>
                <w:lang w:val="pt-BR" w:eastAsia="pt-BR" w:bidi="ar-SA"/>
              </w:rPr>
              <w:t>19</w:t>
            </w:r>
          </w:p>
        </w:tc>
        <w:tc>
          <w:tcPr>
            <w:tcW w:w="684" w:type="dxa"/>
            <w:tcBorders>
              <w:left w:val="nil"/>
              <w:bottom w:val="nil"/>
              <w:right w:val="nil"/>
            </w:tcBorders>
            <w:vAlign w:val="bottom"/>
          </w:tcPr>
          <w:p>
            <w:pPr>
              <w:pStyle w:val="Normal"/>
              <w:widowControl/>
              <w:pBdr/>
              <w:spacing w:before="0" w:after="0"/>
              <w:jc w:val="center"/>
              <w:rPr>
                <w:rFonts w:ascii="Arial" w:hAnsi="Arial" w:eastAsia="Times New Roman" w:cs="Arial"/>
                <w:color w:val="000000"/>
                <w:sz w:val="20"/>
                <w:szCs w:val="20"/>
                <w:lang w:val="pt-BR" w:eastAsia="pt-BR"/>
              </w:rPr>
            </w:pPr>
            <w:r>
              <w:rPr>
                <w:rFonts w:eastAsia="Times New Roman" w:cs="Arial" w:ascii="Arial" w:hAnsi="Arial"/>
                <w:color w:val="000000"/>
                <w:kern w:val="0"/>
                <w:sz w:val="20"/>
                <w:szCs w:val="20"/>
                <w:lang w:val="pt-BR" w:eastAsia="pt-BR" w:bidi="ar-SA"/>
              </w:rPr>
              <w:t>21</w:t>
            </w:r>
          </w:p>
        </w:tc>
        <w:tc>
          <w:tcPr>
            <w:tcW w:w="662" w:type="dxa"/>
            <w:tcBorders>
              <w:left w:val="nil"/>
              <w:bottom w:val="nil"/>
              <w:right w:val="nil"/>
            </w:tcBorders>
            <w:vAlign w:val="bottom"/>
          </w:tcPr>
          <w:p>
            <w:pPr>
              <w:pStyle w:val="Normal"/>
              <w:widowControl/>
              <w:pBdr/>
              <w:spacing w:before="0" w:after="0"/>
              <w:jc w:val="center"/>
              <w:rPr>
                <w:rFonts w:ascii="Arial" w:hAnsi="Arial" w:eastAsia="Times New Roman" w:cs="Arial"/>
                <w:color w:val="000000"/>
                <w:sz w:val="20"/>
                <w:szCs w:val="20"/>
                <w:lang w:val="pt-BR" w:eastAsia="pt-BR"/>
              </w:rPr>
            </w:pPr>
            <w:r>
              <w:rPr>
                <w:rFonts w:eastAsia="Times New Roman" w:cs="Arial" w:ascii="Arial" w:hAnsi="Arial"/>
                <w:color w:val="000000"/>
                <w:kern w:val="0"/>
                <w:sz w:val="20"/>
                <w:szCs w:val="20"/>
                <w:lang w:val="pt-BR" w:eastAsia="pt-BR" w:bidi="ar-SA"/>
              </w:rPr>
              <w:t>24</w:t>
            </w:r>
          </w:p>
        </w:tc>
        <w:tc>
          <w:tcPr>
            <w:tcW w:w="900" w:type="dxa"/>
            <w:tcBorders>
              <w:left w:val="nil"/>
              <w:bottom w:val="nil"/>
              <w:right w:val="nil"/>
            </w:tcBorders>
            <w:vAlign w:val="bottom"/>
          </w:tcPr>
          <w:p>
            <w:pPr>
              <w:pStyle w:val="Normal"/>
              <w:widowControl/>
              <w:pBdr/>
              <w:spacing w:before="0" w:after="0"/>
              <w:jc w:val="center"/>
              <w:rPr>
                <w:rFonts w:ascii="Arial" w:hAnsi="Arial" w:eastAsia="Times New Roman" w:cs="Arial"/>
                <w:color w:val="000000"/>
                <w:sz w:val="20"/>
                <w:szCs w:val="20"/>
                <w:lang w:val="pt-BR" w:eastAsia="pt-BR"/>
              </w:rPr>
            </w:pPr>
            <w:r>
              <w:rPr>
                <w:rFonts w:eastAsia="Times New Roman" w:cs="Arial" w:ascii="Arial" w:hAnsi="Arial"/>
                <w:color w:val="000000"/>
                <w:kern w:val="0"/>
                <w:sz w:val="20"/>
                <w:szCs w:val="20"/>
                <w:lang w:val="pt-BR" w:eastAsia="pt-BR" w:bidi="ar-SA"/>
              </w:rPr>
              <w:t>28</w:t>
            </w:r>
          </w:p>
        </w:tc>
        <w:tc>
          <w:tcPr>
            <w:tcW w:w="900" w:type="dxa"/>
            <w:tcBorders>
              <w:left w:val="nil"/>
              <w:bottom w:val="nil"/>
              <w:right w:val="nil"/>
            </w:tcBorders>
            <w:vAlign w:val="bottom"/>
          </w:tcPr>
          <w:p>
            <w:pPr>
              <w:pStyle w:val="Normal"/>
              <w:widowControl/>
              <w:pBdr/>
              <w:spacing w:before="0" w:after="0"/>
              <w:jc w:val="center"/>
              <w:rPr>
                <w:rFonts w:ascii="Arial" w:hAnsi="Arial" w:eastAsia="Times New Roman" w:cs="Arial"/>
                <w:color w:val="000000"/>
                <w:sz w:val="20"/>
                <w:szCs w:val="20"/>
                <w:lang w:val="pt-BR" w:eastAsia="pt-BR"/>
              </w:rPr>
            </w:pPr>
            <w:r>
              <w:rPr>
                <w:rFonts w:eastAsia="Times New Roman" w:cs="Arial" w:ascii="Arial" w:hAnsi="Arial"/>
                <w:color w:val="000000"/>
                <w:kern w:val="0"/>
                <w:sz w:val="20"/>
                <w:szCs w:val="20"/>
                <w:lang w:val="pt-BR" w:eastAsia="pt-BR" w:bidi="ar-SA"/>
              </w:rPr>
              <w:t>32</w:t>
            </w:r>
          </w:p>
        </w:tc>
        <w:tc>
          <w:tcPr>
            <w:tcW w:w="1057" w:type="dxa"/>
            <w:tcBorders>
              <w:left w:val="nil"/>
              <w:bottom w:val="nil"/>
              <w:right w:val="nil"/>
            </w:tcBorders>
            <w:vAlign w:val="bottom"/>
          </w:tcPr>
          <w:p>
            <w:pPr>
              <w:pStyle w:val="Normal"/>
              <w:widowControl/>
              <w:pBdr/>
              <w:spacing w:before="0" w:after="0"/>
              <w:jc w:val="center"/>
              <w:rPr>
                <w:rFonts w:ascii="Arial" w:hAnsi="Arial" w:eastAsia="Times New Roman" w:cs="Arial"/>
                <w:color w:val="000000"/>
                <w:sz w:val="20"/>
                <w:szCs w:val="20"/>
                <w:lang w:val="pt-BR" w:eastAsia="pt-BR"/>
              </w:rPr>
            </w:pPr>
            <w:r>
              <w:rPr>
                <w:rFonts w:eastAsia="Times New Roman" w:cs="Arial" w:ascii="Arial" w:hAnsi="Arial"/>
                <w:color w:val="000000"/>
                <w:kern w:val="0"/>
                <w:sz w:val="20"/>
                <w:szCs w:val="20"/>
                <w:lang w:val="pt-BR" w:eastAsia="pt-BR" w:bidi="ar-SA"/>
              </w:rPr>
              <w:t>45</w:t>
            </w:r>
          </w:p>
        </w:tc>
      </w:tr>
      <w:tr>
        <w:trPr/>
        <w:tc>
          <w:tcPr>
            <w:tcW w:w="4050" w:type="dxa"/>
            <w:tcBorders>
              <w:top w:val="nil"/>
              <w:left w:val="nil"/>
              <w:bottom w:val="nil"/>
            </w:tcBorders>
          </w:tcPr>
          <w:p>
            <w:pPr>
              <w:pStyle w:val="Normal"/>
              <w:widowControl/>
              <w:pBdr/>
              <w:spacing w:before="0" w:after="0"/>
              <w:jc w:val="both"/>
              <w:rPr>
                <w:rFonts w:ascii="Arial" w:hAnsi="Arial" w:cs="Arial"/>
                <w:sz w:val="20"/>
                <w:szCs w:val="20"/>
                <w:lang w:val="pt-BR"/>
              </w:rPr>
            </w:pPr>
            <w:r>
              <w:rPr>
                <w:rFonts w:eastAsia="Times New Roman" w:cs="Arial" w:ascii="Arial" w:hAnsi="Arial"/>
                <w:color w:val="000000"/>
                <w:kern w:val="0"/>
                <w:sz w:val="20"/>
                <w:szCs w:val="20"/>
                <w:lang w:val="pt-BR" w:eastAsia="pt-BR" w:bidi="ar-SA"/>
              </w:rPr>
              <w:t>Produção média/animal/dia em kg</w:t>
            </w:r>
          </w:p>
        </w:tc>
        <w:tc>
          <w:tcPr>
            <w:tcW w:w="809" w:type="dxa"/>
            <w:tcBorders>
              <w:top w:val="nil"/>
              <w:bottom w:val="nil"/>
              <w:right w:val="nil"/>
            </w:tcBorders>
            <w:vAlign w:val="bottom"/>
          </w:tcPr>
          <w:p>
            <w:pPr>
              <w:pStyle w:val="Normal"/>
              <w:widowControl/>
              <w:pBdr/>
              <w:spacing w:before="0" w:after="0"/>
              <w:jc w:val="center"/>
              <w:rPr>
                <w:rFonts w:ascii="Arial" w:hAnsi="Arial" w:eastAsia="Times New Roman" w:cs="Arial"/>
                <w:color w:val="000000"/>
                <w:sz w:val="20"/>
                <w:szCs w:val="20"/>
                <w:lang w:val="pt-BR" w:eastAsia="pt-BR"/>
              </w:rPr>
            </w:pPr>
            <w:r>
              <w:rPr>
                <w:rFonts w:eastAsia="Times New Roman" w:cs="Arial" w:ascii="Arial" w:hAnsi="Arial"/>
                <w:color w:val="000000"/>
                <w:kern w:val="0"/>
                <w:sz w:val="20"/>
                <w:szCs w:val="20"/>
                <w:lang w:val="pt-BR" w:eastAsia="pt-BR" w:bidi="ar-SA"/>
              </w:rPr>
              <w:t>12</w:t>
            </w:r>
          </w:p>
        </w:tc>
        <w:tc>
          <w:tcPr>
            <w:tcW w:w="684" w:type="dxa"/>
            <w:tcBorders>
              <w:top w:val="nil"/>
              <w:left w:val="nil"/>
              <w:bottom w:val="nil"/>
              <w:right w:val="nil"/>
            </w:tcBorders>
            <w:vAlign w:val="bottom"/>
          </w:tcPr>
          <w:p>
            <w:pPr>
              <w:pStyle w:val="Normal"/>
              <w:widowControl/>
              <w:pBdr/>
              <w:spacing w:before="0" w:after="0"/>
              <w:jc w:val="center"/>
              <w:rPr>
                <w:rFonts w:ascii="Arial" w:hAnsi="Arial" w:eastAsia="Times New Roman" w:cs="Arial"/>
                <w:color w:val="000000"/>
                <w:sz w:val="20"/>
                <w:szCs w:val="20"/>
                <w:lang w:val="pt-BR" w:eastAsia="pt-BR"/>
              </w:rPr>
            </w:pPr>
            <w:r>
              <w:rPr>
                <w:rFonts w:eastAsia="Times New Roman" w:cs="Arial" w:ascii="Arial" w:hAnsi="Arial"/>
                <w:color w:val="000000"/>
                <w:kern w:val="0"/>
                <w:sz w:val="20"/>
                <w:szCs w:val="20"/>
                <w:lang w:val="pt-BR" w:eastAsia="pt-BR" w:bidi="ar-SA"/>
              </w:rPr>
              <w:t>13</w:t>
            </w:r>
          </w:p>
        </w:tc>
        <w:tc>
          <w:tcPr>
            <w:tcW w:w="662" w:type="dxa"/>
            <w:tcBorders>
              <w:top w:val="nil"/>
              <w:left w:val="nil"/>
              <w:bottom w:val="nil"/>
              <w:right w:val="nil"/>
            </w:tcBorders>
            <w:vAlign w:val="bottom"/>
          </w:tcPr>
          <w:p>
            <w:pPr>
              <w:pStyle w:val="Normal"/>
              <w:widowControl/>
              <w:pBdr/>
              <w:spacing w:before="0" w:after="0"/>
              <w:jc w:val="center"/>
              <w:rPr>
                <w:rFonts w:ascii="Arial" w:hAnsi="Arial" w:eastAsia="Times New Roman" w:cs="Arial"/>
                <w:color w:val="000000"/>
                <w:sz w:val="20"/>
                <w:szCs w:val="20"/>
                <w:lang w:val="pt-BR" w:eastAsia="pt-BR"/>
              </w:rPr>
            </w:pPr>
            <w:r>
              <w:rPr>
                <w:rFonts w:eastAsia="Times New Roman" w:cs="Arial" w:ascii="Arial" w:hAnsi="Arial"/>
                <w:color w:val="000000"/>
                <w:kern w:val="0"/>
                <w:sz w:val="20"/>
                <w:szCs w:val="20"/>
                <w:lang w:val="pt-BR" w:eastAsia="pt-BR" w:bidi="ar-SA"/>
              </w:rPr>
              <w:t>19</w:t>
            </w:r>
          </w:p>
        </w:tc>
        <w:tc>
          <w:tcPr>
            <w:tcW w:w="900" w:type="dxa"/>
            <w:tcBorders>
              <w:top w:val="nil"/>
              <w:left w:val="nil"/>
              <w:bottom w:val="nil"/>
              <w:right w:val="nil"/>
            </w:tcBorders>
            <w:vAlign w:val="bottom"/>
          </w:tcPr>
          <w:p>
            <w:pPr>
              <w:pStyle w:val="Normal"/>
              <w:widowControl/>
              <w:pBdr/>
              <w:spacing w:before="0" w:after="0"/>
              <w:jc w:val="center"/>
              <w:rPr>
                <w:rFonts w:ascii="Arial" w:hAnsi="Arial" w:eastAsia="Times New Roman" w:cs="Arial"/>
                <w:color w:val="000000"/>
                <w:sz w:val="20"/>
                <w:szCs w:val="20"/>
                <w:lang w:val="pt-BR" w:eastAsia="pt-BR"/>
              </w:rPr>
            </w:pPr>
            <w:r>
              <w:rPr>
                <w:rFonts w:eastAsia="Times New Roman" w:cs="Arial" w:ascii="Arial" w:hAnsi="Arial"/>
                <w:color w:val="000000"/>
                <w:kern w:val="0"/>
                <w:sz w:val="20"/>
                <w:szCs w:val="20"/>
                <w:lang w:val="pt-BR" w:eastAsia="pt-BR" w:bidi="ar-SA"/>
              </w:rPr>
              <w:t>20.5</w:t>
            </w:r>
          </w:p>
        </w:tc>
        <w:tc>
          <w:tcPr>
            <w:tcW w:w="900" w:type="dxa"/>
            <w:tcBorders>
              <w:top w:val="nil"/>
              <w:left w:val="nil"/>
              <w:bottom w:val="nil"/>
              <w:right w:val="nil"/>
            </w:tcBorders>
            <w:vAlign w:val="bottom"/>
          </w:tcPr>
          <w:p>
            <w:pPr>
              <w:pStyle w:val="Normal"/>
              <w:widowControl/>
              <w:pBdr/>
              <w:spacing w:before="0" w:after="0"/>
              <w:jc w:val="center"/>
              <w:rPr>
                <w:rFonts w:ascii="Arial" w:hAnsi="Arial" w:eastAsia="Times New Roman" w:cs="Arial"/>
                <w:color w:val="000000"/>
                <w:sz w:val="20"/>
                <w:szCs w:val="20"/>
                <w:lang w:val="pt-BR" w:eastAsia="pt-BR"/>
              </w:rPr>
            </w:pPr>
            <w:r>
              <w:rPr>
                <w:rFonts w:eastAsia="Times New Roman" w:cs="Arial" w:ascii="Arial" w:hAnsi="Arial"/>
                <w:color w:val="000000"/>
                <w:kern w:val="0"/>
                <w:sz w:val="20"/>
                <w:szCs w:val="20"/>
                <w:lang w:val="pt-BR" w:eastAsia="pt-BR" w:bidi="ar-SA"/>
              </w:rPr>
              <w:t>21</w:t>
            </w:r>
          </w:p>
        </w:tc>
        <w:tc>
          <w:tcPr>
            <w:tcW w:w="1057" w:type="dxa"/>
            <w:tcBorders>
              <w:top w:val="nil"/>
              <w:left w:val="nil"/>
              <w:bottom w:val="nil"/>
              <w:right w:val="nil"/>
            </w:tcBorders>
            <w:vAlign w:val="bottom"/>
          </w:tcPr>
          <w:p>
            <w:pPr>
              <w:pStyle w:val="Normal"/>
              <w:widowControl/>
              <w:pBdr/>
              <w:spacing w:before="0" w:after="0"/>
              <w:jc w:val="center"/>
              <w:rPr>
                <w:rFonts w:ascii="Arial" w:hAnsi="Arial" w:eastAsia="Times New Roman" w:cs="Arial"/>
                <w:color w:val="000000"/>
                <w:sz w:val="20"/>
                <w:szCs w:val="20"/>
                <w:lang w:val="pt-BR" w:eastAsia="pt-BR"/>
              </w:rPr>
            </w:pPr>
            <w:r>
              <w:rPr>
                <w:rFonts w:eastAsia="Times New Roman" w:cs="Arial" w:ascii="Arial" w:hAnsi="Arial"/>
                <w:color w:val="000000"/>
                <w:kern w:val="0"/>
                <w:sz w:val="20"/>
                <w:szCs w:val="20"/>
                <w:lang w:val="pt-BR" w:eastAsia="pt-BR" w:bidi="ar-SA"/>
              </w:rPr>
              <w:t>24</w:t>
            </w:r>
          </w:p>
        </w:tc>
      </w:tr>
      <w:tr>
        <w:trPr/>
        <w:tc>
          <w:tcPr>
            <w:tcW w:w="4050" w:type="dxa"/>
            <w:tcBorders>
              <w:top w:val="nil"/>
              <w:left w:val="nil"/>
              <w:bottom w:val="nil"/>
            </w:tcBorders>
          </w:tcPr>
          <w:p>
            <w:pPr>
              <w:pStyle w:val="Normal"/>
              <w:widowControl/>
              <w:pBdr/>
              <w:spacing w:before="0" w:after="0"/>
              <w:jc w:val="both"/>
              <w:rPr>
                <w:rFonts w:ascii="Arial" w:hAnsi="Arial" w:cs="Arial"/>
                <w:sz w:val="20"/>
                <w:szCs w:val="20"/>
                <w:lang w:val="pt-BR"/>
              </w:rPr>
            </w:pPr>
            <w:r>
              <w:rPr>
                <w:rFonts w:eastAsia="Times New Roman" w:cs="Arial" w:ascii="Arial" w:hAnsi="Arial"/>
                <w:color w:val="000000"/>
                <w:kern w:val="0"/>
                <w:sz w:val="20"/>
                <w:szCs w:val="20"/>
                <w:lang w:val="pt-BR" w:eastAsia="pt-BR" w:bidi="ar-SA"/>
              </w:rPr>
              <w:t>Área de pastejo vacas em lactação (ha)</w:t>
            </w:r>
          </w:p>
        </w:tc>
        <w:tc>
          <w:tcPr>
            <w:tcW w:w="809" w:type="dxa"/>
            <w:tcBorders>
              <w:top w:val="nil"/>
              <w:bottom w:val="nil"/>
              <w:right w:val="nil"/>
            </w:tcBorders>
            <w:vAlign w:val="bottom"/>
          </w:tcPr>
          <w:p>
            <w:pPr>
              <w:pStyle w:val="Normal"/>
              <w:widowControl/>
              <w:pBdr/>
              <w:spacing w:before="0" w:after="0"/>
              <w:jc w:val="center"/>
              <w:rPr>
                <w:rFonts w:ascii="Arial" w:hAnsi="Arial" w:eastAsia="Times New Roman" w:cs="Arial"/>
                <w:color w:val="000000"/>
                <w:sz w:val="20"/>
                <w:szCs w:val="20"/>
                <w:lang w:val="pt-BR" w:eastAsia="pt-BR"/>
              </w:rPr>
            </w:pPr>
            <w:r>
              <w:rPr>
                <w:rFonts w:eastAsia="Times New Roman" w:cs="Arial" w:ascii="Arial" w:hAnsi="Arial"/>
                <w:color w:val="000000"/>
                <w:kern w:val="0"/>
                <w:sz w:val="20"/>
                <w:szCs w:val="20"/>
                <w:lang w:val="pt-BR" w:eastAsia="pt-BR" w:bidi="ar-SA"/>
              </w:rPr>
              <w:t>6,5</w:t>
            </w:r>
          </w:p>
        </w:tc>
        <w:tc>
          <w:tcPr>
            <w:tcW w:w="684" w:type="dxa"/>
            <w:tcBorders>
              <w:top w:val="nil"/>
              <w:left w:val="nil"/>
              <w:bottom w:val="nil"/>
              <w:right w:val="nil"/>
            </w:tcBorders>
            <w:vAlign w:val="bottom"/>
          </w:tcPr>
          <w:p>
            <w:pPr>
              <w:pStyle w:val="Normal"/>
              <w:widowControl/>
              <w:pBdr/>
              <w:spacing w:before="0" w:after="0"/>
              <w:jc w:val="center"/>
              <w:rPr>
                <w:rFonts w:ascii="Arial" w:hAnsi="Arial" w:eastAsia="Times New Roman" w:cs="Arial"/>
                <w:color w:val="000000"/>
                <w:sz w:val="20"/>
                <w:szCs w:val="20"/>
                <w:lang w:val="pt-BR" w:eastAsia="pt-BR"/>
              </w:rPr>
            </w:pPr>
            <w:r>
              <w:rPr>
                <w:rFonts w:eastAsia="Times New Roman" w:cs="Arial" w:ascii="Arial" w:hAnsi="Arial"/>
                <w:color w:val="000000"/>
                <w:kern w:val="0"/>
                <w:sz w:val="20"/>
                <w:szCs w:val="20"/>
                <w:lang w:val="pt-BR" w:eastAsia="pt-BR" w:bidi="ar-SA"/>
              </w:rPr>
              <w:t>7</w:t>
            </w:r>
          </w:p>
        </w:tc>
        <w:tc>
          <w:tcPr>
            <w:tcW w:w="662" w:type="dxa"/>
            <w:tcBorders>
              <w:top w:val="nil"/>
              <w:left w:val="nil"/>
              <w:bottom w:val="nil"/>
              <w:right w:val="nil"/>
            </w:tcBorders>
            <w:vAlign w:val="bottom"/>
          </w:tcPr>
          <w:p>
            <w:pPr>
              <w:pStyle w:val="Normal"/>
              <w:widowControl/>
              <w:pBdr/>
              <w:spacing w:before="0" w:after="0"/>
              <w:jc w:val="center"/>
              <w:rPr>
                <w:rFonts w:ascii="Arial" w:hAnsi="Arial" w:eastAsia="Times New Roman" w:cs="Arial"/>
                <w:color w:val="000000"/>
                <w:sz w:val="20"/>
                <w:szCs w:val="20"/>
                <w:lang w:val="pt-BR" w:eastAsia="pt-BR"/>
              </w:rPr>
            </w:pPr>
            <w:r>
              <w:rPr>
                <w:rFonts w:eastAsia="Times New Roman" w:cs="Arial" w:ascii="Arial" w:hAnsi="Arial"/>
                <w:color w:val="000000"/>
                <w:kern w:val="0"/>
                <w:sz w:val="20"/>
                <w:szCs w:val="20"/>
                <w:lang w:val="pt-BR" w:eastAsia="pt-BR" w:bidi="ar-SA"/>
              </w:rPr>
              <w:t>5,5</w:t>
            </w:r>
          </w:p>
        </w:tc>
        <w:tc>
          <w:tcPr>
            <w:tcW w:w="900" w:type="dxa"/>
            <w:tcBorders>
              <w:top w:val="nil"/>
              <w:left w:val="nil"/>
              <w:bottom w:val="nil"/>
              <w:right w:val="nil"/>
            </w:tcBorders>
            <w:vAlign w:val="bottom"/>
          </w:tcPr>
          <w:p>
            <w:pPr>
              <w:pStyle w:val="Normal"/>
              <w:widowControl/>
              <w:pBdr/>
              <w:spacing w:before="0" w:after="0"/>
              <w:jc w:val="center"/>
              <w:rPr>
                <w:rFonts w:ascii="Arial" w:hAnsi="Arial" w:eastAsia="Times New Roman" w:cs="Arial"/>
                <w:color w:val="000000"/>
                <w:sz w:val="20"/>
                <w:szCs w:val="20"/>
                <w:lang w:val="pt-BR" w:eastAsia="pt-BR"/>
              </w:rPr>
            </w:pPr>
            <w:r>
              <w:rPr>
                <w:rFonts w:eastAsia="Times New Roman" w:cs="Arial" w:ascii="Arial" w:hAnsi="Arial"/>
                <w:color w:val="000000"/>
                <w:kern w:val="0"/>
                <w:sz w:val="20"/>
                <w:szCs w:val="20"/>
                <w:lang w:val="pt-BR" w:eastAsia="pt-BR" w:bidi="ar-SA"/>
              </w:rPr>
              <w:t>5</w:t>
            </w:r>
          </w:p>
        </w:tc>
        <w:tc>
          <w:tcPr>
            <w:tcW w:w="900" w:type="dxa"/>
            <w:tcBorders>
              <w:top w:val="nil"/>
              <w:left w:val="nil"/>
              <w:bottom w:val="nil"/>
              <w:right w:val="nil"/>
            </w:tcBorders>
            <w:vAlign w:val="bottom"/>
          </w:tcPr>
          <w:p>
            <w:pPr>
              <w:pStyle w:val="Normal"/>
              <w:widowControl/>
              <w:pBdr/>
              <w:spacing w:before="0" w:after="0"/>
              <w:jc w:val="center"/>
              <w:rPr>
                <w:rFonts w:ascii="Arial" w:hAnsi="Arial" w:eastAsia="Times New Roman" w:cs="Arial"/>
                <w:color w:val="000000"/>
                <w:sz w:val="20"/>
                <w:szCs w:val="20"/>
                <w:lang w:val="pt-BR" w:eastAsia="pt-BR"/>
              </w:rPr>
            </w:pPr>
            <w:r>
              <w:rPr>
                <w:rFonts w:eastAsia="Times New Roman" w:cs="Arial" w:ascii="Arial" w:hAnsi="Arial"/>
                <w:color w:val="000000"/>
                <w:kern w:val="0"/>
                <w:sz w:val="20"/>
                <w:szCs w:val="20"/>
                <w:lang w:val="pt-BR" w:eastAsia="pt-BR" w:bidi="ar-SA"/>
              </w:rPr>
              <w:t>5,7</w:t>
            </w:r>
          </w:p>
        </w:tc>
        <w:tc>
          <w:tcPr>
            <w:tcW w:w="1057" w:type="dxa"/>
            <w:tcBorders>
              <w:top w:val="nil"/>
              <w:left w:val="nil"/>
              <w:bottom w:val="nil"/>
              <w:right w:val="nil"/>
            </w:tcBorders>
            <w:vAlign w:val="bottom"/>
          </w:tcPr>
          <w:p>
            <w:pPr>
              <w:pStyle w:val="Normal"/>
              <w:widowControl/>
              <w:pBdr/>
              <w:spacing w:before="0" w:after="0"/>
              <w:jc w:val="center"/>
              <w:rPr>
                <w:rFonts w:ascii="Arial" w:hAnsi="Arial" w:eastAsia="Times New Roman" w:cs="Arial"/>
                <w:color w:val="000000"/>
                <w:sz w:val="20"/>
                <w:szCs w:val="20"/>
                <w:lang w:val="pt-BR" w:eastAsia="pt-BR"/>
              </w:rPr>
            </w:pPr>
            <w:r>
              <w:rPr>
                <w:rFonts w:eastAsia="Times New Roman" w:cs="Arial" w:ascii="Arial" w:hAnsi="Arial"/>
                <w:color w:val="000000"/>
                <w:kern w:val="0"/>
                <w:sz w:val="20"/>
                <w:szCs w:val="20"/>
                <w:lang w:val="pt-BR" w:eastAsia="pt-BR" w:bidi="ar-SA"/>
              </w:rPr>
              <w:t>6,5</w:t>
            </w:r>
          </w:p>
        </w:tc>
      </w:tr>
      <w:tr>
        <w:trPr/>
        <w:tc>
          <w:tcPr>
            <w:tcW w:w="4050" w:type="dxa"/>
            <w:tcBorders>
              <w:top w:val="nil"/>
              <w:left w:val="nil"/>
              <w:bottom w:val="nil"/>
            </w:tcBorders>
          </w:tcPr>
          <w:p>
            <w:pPr>
              <w:pStyle w:val="Normal"/>
              <w:widowControl/>
              <w:pBdr/>
              <w:spacing w:before="0" w:after="0"/>
              <w:jc w:val="both"/>
              <w:rPr>
                <w:rFonts w:ascii="Arial" w:hAnsi="Arial" w:cs="Arial"/>
                <w:sz w:val="20"/>
                <w:szCs w:val="20"/>
                <w:lang w:val="pt-BR"/>
              </w:rPr>
            </w:pPr>
            <w:r>
              <w:rPr>
                <w:rFonts w:eastAsia="Times New Roman" w:cs="Arial" w:ascii="Arial" w:hAnsi="Arial"/>
                <w:color w:val="000000"/>
                <w:kern w:val="0"/>
                <w:sz w:val="20"/>
                <w:szCs w:val="20"/>
                <w:lang w:val="pt-BR" w:eastAsia="pt-BR" w:bidi="ar-SA"/>
              </w:rPr>
              <w:t>Área de cria e recria de novilhas (ha)</w:t>
            </w:r>
          </w:p>
        </w:tc>
        <w:tc>
          <w:tcPr>
            <w:tcW w:w="809" w:type="dxa"/>
            <w:tcBorders>
              <w:top w:val="nil"/>
              <w:bottom w:val="nil"/>
              <w:right w:val="nil"/>
            </w:tcBorders>
            <w:vAlign w:val="bottom"/>
          </w:tcPr>
          <w:p>
            <w:pPr>
              <w:pStyle w:val="Normal"/>
              <w:widowControl/>
              <w:pBdr/>
              <w:spacing w:before="0" w:after="0"/>
              <w:jc w:val="center"/>
              <w:rPr>
                <w:rFonts w:ascii="Arial" w:hAnsi="Arial" w:eastAsia="Times New Roman" w:cs="Arial"/>
                <w:color w:val="000000"/>
                <w:sz w:val="20"/>
                <w:szCs w:val="20"/>
                <w:lang w:val="pt-BR" w:eastAsia="pt-BR"/>
              </w:rPr>
            </w:pPr>
            <w:r>
              <w:rPr>
                <w:rFonts w:eastAsia="Times New Roman" w:cs="Arial" w:ascii="Arial" w:hAnsi="Arial"/>
                <w:color w:val="000000"/>
                <w:kern w:val="0"/>
                <w:sz w:val="20"/>
                <w:szCs w:val="20"/>
                <w:lang w:val="pt-BR" w:eastAsia="pt-BR" w:bidi="ar-SA"/>
              </w:rPr>
              <w:t>0,5</w:t>
            </w:r>
          </w:p>
        </w:tc>
        <w:tc>
          <w:tcPr>
            <w:tcW w:w="684" w:type="dxa"/>
            <w:tcBorders>
              <w:top w:val="nil"/>
              <w:left w:val="nil"/>
              <w:bottom w:val="nil"/>
              <w:right w:val="nil"/>
            </w:tcBorders>
            <w:vAlign w:val="bottom"/>
          </w:tcPr>
          <w:p>
            <w:pPr>
              <w:pStyle w:val="Normal"/>
              <w:widowControl/>
              <w:pBdr/>
              <w:spacing w:before="0" w:after="0"/>
              <w:jc w:val="center"/>
              <w:rPr>
                <w:rFonts w:ascii="Arial" w:hAnsi="Arial" w:eastAsia="Times New Roman" w:cs="Arial"/>
                <w:color w:val="000000"/>
                <w:sz w:val="20"/>
                <w:szCs w:val="20"/>
                <w:lang w:val="pt-BR" w:eastAsia="pt-BR"/>
              </w:rPr>
            </w:pPr>
            <w:r>
              <w:rPr>
                <w:rFonts w:eastAsia="Times New Roman" w:cs="Arial" w:ascii="Arial" w:hAnsi="Arial"/>
                <w:color w:val="000000"/>
                <w:kern w:val="0"/>
                <w:sz w:val="20"/>
                <w:szCs w:val="20"/>
                <w:lang w:val="pt-BR" w:eastAsia="pt-BR" w:bidi="ar-SA"/>
              </w:rPr>
              <w:t>0,5</w:t>
            </w:r>
          </w:p>
        </w:tc>
        <w:tc>
          <w:tcPr>
            <w:tcW w:w="662" w:type="dxa"/>
            <w:tcBorders>
              <w:top w:val="nil"/>
              <w:left w:val="nil"/>
              <w:bottom w:val="nil"/>
              <w:right w:val="nil"/>
            </w:tcBorders>
            <w:vAlign w:val="bottom"/>
          </w:tcPr>
          <w:p>
            <w:pPr>
              <w:pStyle w:val="Normal"/>
              <w:widowControl/>
              <w:pBdr/>
              <w:spacing w:before="0" w:after="0"/>
              <w:jc w:val="center"/>
              <w:rPr>
                <w:rFonts w:ascii="Arial" w:hAnsi="Arial" w:eastAsia="Times New Roman" w:cs="Arial"/>
                <w:color w:val="000000"/>
                <w:sz w:val="20"/>
                <w:szCs w:val="20"/>
                <w:lang w:val="pt-BR" w:eastAsia="pt-BR"/>
              </w:rPr>
            </w:pPr>
            <w:r>
              <w:rPr>
                <w:rFonts w:eastAsia="Times New Roman" w:cs="Arial" w:ascii="Arial" w:hAnsi="Arial"/>
                <w:color w:val="000000"/>
                <w:kern w:val="0"/>
                <w:sz w:val="20"/>
                <w:szCs w:val="20"/>
                <w:lang w:val="pt-BR" w:eastAsia="pt-BR" w:bidi="ar-SA"/>
              </w:rPr>
              <w:t>2,5</w:t>
            </w:r>
          </w:p>
        </w:tc>
        <w:tc>
          <w:tcPr>
            <w:tcW w:w="900" w:type="dxa"/>
            <w:tcBorders>
              <w:top w:val="nil"/>
              <w:left w:val="nil"/>
              <w:bottom w:val="nil"/>
              <w:right w:val="nil"/>
            </w:tcBorders>
            <w:vAlign w:val="bottom"/>
          </w:tcPr>
          <w:p>
            <w:pPr>
              <w:pStyle w:val="Normal"/>
              <w:widowControl/>
              <w:pBdr/>
              <w:spacing w:before="0" w:after="0"/>
              <w:jc w:val="center"/>
              <w:rPr>
                <w:rFonts w:ascii="Arial" w:hAnsi="Arial" w:eastAsia="Times New Roman" w:cs="Arial"/>
                <w:color w:val="000000"/>
                <w:sz w:val="20"/>
                <w:szCs w:val="20"/>
                <w:lang w:val="pt-BR" w:eastAsia="pt-BR"/>
              </w:rPr>
            </w:pPr>
            <w:r>
              <w:rPr>
                <w:rFonts w:eastAsia="Times New Roman" w:cs="Arial" w:ascii="Arial" w:hAnsi="Arial"/>
                <w:color w:val="000000"/>
                <w:kern w:val="0"/>
                <w:sz w:val="20"/>
                <w:szCs w:val="20"/>
                <w:lang w:val="pt-BR" w:eastAsia="pt-BR" w:bidi="ar-SA"/>
              </w:rPr>
              <w:t>3</w:t>
            </w:r>
          </w:p>
        </w:tc>
        <w:tc>
          <w:tcPr>
            <w:tcW w:w="900" w:type="dxa"/>
            <w:tcBorders>
              <w:top w:val="nil"/>
              <w:left w:val="nil"/>
              <w:bottom w:val="nil"/>
              <w:right w:val="nil"/>
            </w:tcBorders>
            <w:vAlign w:val="bottom"/>
          </w:tcPr>
          <w:p>
            <w:pPr>
              <w:pStyle w:val="Normal"/>
              <w:widowControl/>
              <w:pBdr/>
              <w:spacing w:before="0" w:after="0"/>
              <w:jc w:val="center"/>
              <w:rPr>
                <w:rFonts w:ascii="Arial" w:hAnsi="Arial" w:eastAsia="Times New Roman" w:cs="Arial"/>
                <w:color w:val="000000"/>
                <w:sz w:val="20"/>
                <w:szCs w:val="20"/>
                <w:lang w:val="pt-BR" w:eastAsia="pt-BR"/>
              </w:rPr>
            </w:pPr>
            <w:r>
              <w:rPr>
                <w:rFonts w:eastAsia="Times New Roman" w:cs="Arial" w:ascii="Arial" w:hAnsi="Arial"/>
                <w:color w:val="000000"/>
                <w:kern w:val="0"/>
                <w:sz w:val="20"/>
                <w:szCs w:val="20"/>
                <w:lang w:val="pt-BR" w:eastAsia="pt-BR" w:bidi="ar-SA"/>
              </w:rPr>
              <w:t>3,65</w:t>
            </w:r>
          </w:p>
        </w:tc>
        <w:tc>
          <w:tcPr>
            <w:tcW w:w="1057" w:type="dxa"/>
            <w:tcBorders>
              <w:top w:val="nil"/>
              <w:left w:val="nil"/>
              <w:bottom w:val="nil"/>
              <w:right w:val="nil"/>
            </w:tcBorders>
            <w:vAlign w:val="bottom"/>
          </w:tcPr>
          <w:p>
            <w:pPr>
              <w:pStyle w:val="Normal"/>
              <w:widowControl/>
              <w:pBdr/>
              <w:spacing w:before="0" w:after="0"/>
              <w:jc w:val="center"/>
              <w:rPr>
                <w:rFonts w:ascii="Arial" w:hAnsi="Arial" w:eastAsia="Times New Roman" w:cs="Arial"/>
                <w:color w:val="000000"/>
                <w:sz w:val="20"/>
                <w:szCs w:val="20"/>
                <w:lang w:val="pt-BR" w:eastAsia="pt-BR"/>
              </w:rPr>
            </w:pPr>
            <w:r>
              <w:rPr>
                <w:rFonts w:eastAsia="Times New Roman" w:cs="Arial" w:ascii="Arial" w:hAnsi="Arial"/>
                <w:color w:val="000000"/>
                <w:kern w:val="0"/>
                <w:sz w:val="20"/>
                <w:szCs w:val="20"/>
                <w:lang w:val="pt-BR" w:eastAsia="pt-BR" w:bidi="ar-SA"/>
              </w:rPr>
              <w:t>3,8</w:t>
            </w:r>
          </w:p>
        </w:tc>
      </w:tr>
      <w:tr>
        <w:trPr/>
        <w:tc>
          <w:tcPr>
            <w:tcW w:w="4050" w:type="dxa"/>
            <w:tcBorders>
              <w:top w:val="nil"/>
              <w:left w:val="nil"/>
            </w:tcBorders>
          </w:tcPr>
          <w:p>
            <w:pPr>
              <w:pStyle w:val="Normal"/>
              <w:widowControl/>
              <w:pBdr/>
              <w:spacing w:before="0" w:after="0"/>
              <w:jc w:val="both"/>
              <w:rPr>
                <w:rFonts w:ascii="Arial" w:hAnsi="Arial" w:cs="Arial"/>
                <w:sz w:val="20"/>
                <w:szCs w:val="20"/>
                <w:lang w:val="pt-BR"/>
              </w:rPr>
            </w:pPr>
            <w:r>
              <w:rPr>
                <w:rFonts w:eastAsia="Times New Roman" w:cs="Arial" w:ascii="Arial" w:hAnsi="Arial"/>
                <w:color w:val="000000"/>
                <w:kern w:val="0"/>
                <w:sz w:val="20"/>
                <w:szCs w:val="20"/>
                <w:lang w:val="pt-BR" w:eastAsia="pt-BR" w:bidi="ar-SA"/>
              </w:rPr>
              <w:t>Lucratividade</w:t>
            </w:r>
          </w:p>
        </w:tc>
        <w:tc>
          <w:tcPr>
            <w:tcW w:w="809" w:type="dxa"/>
            <w:tcBorders>
              <w:top w:val="nil"/>
              <w:right w:val="nil"/>
            </w:tcBorders>
            <w:vAlign w:val="bottom"/>
          </w:tcPr>
          <w:p>
            <w:pPr>
              <w:pStyle w:val="Normal"/>
              <w:widowControl/>
              <w:pBdr/>
              <w:spacing w:before="0" w:after="0"/>
              <w:jc w:val="center"/>
              <w:rPr>
                <w:rFonts w:ascii="Arial" w:hAnsi="Arial" w:eastAsia="Times New Roman" w:cs="Arial"/>
                <w:color w:val="000000"/>
                <w:sz w:val="20"/>
                <w:szCs w:val="20"/>
                <w:lang w:val="pt-BR" w:eastAsia="pt-BR"/>
              </w:rPr>
            </w:pPr>
            <w:r>
              <w:rPr>
                <w:rFonts w:eastAsia="Times New Roman" w:cs="Arial" w:ascii="Arial" w:hAnsi="Arial"/>
                <w:color w:val="000000"/>
                <w:kern w:val="0"/>
                <w:sz w:val="20"/>
                <w:szCs w:val="20"/>
                <w:lang w:val="pt-BR" w:eastAsia="pt-BR" w:bidi="ar-SA"/>
              </w:rPr>
              <w:t>2X</w:t>
            </w:r>
          </w:p>
        </w:tc>
        <w:tc>
          <w:tcPr>
            <w:tcW w:w="684" w:type="dxa"/>
            <w:tcBorders>
              <w:top w:val="nil"/>
              <w:left w:val="nil"/>
              <w:right w:val="nil"/>
            </w:tcBorders>
            <w:vAlign w:val="bottom"/>
          </w:tcPr>
          <w:p>
            <w:pPr>
              <w:pStyle w:val="Normal"/>
              <w:widowControl/>
              <w:pBdr/>
              <w:spacing w:before="0" w:after="0"/>
              <w:jc w:val="center"/>
              <w:rPr>
                <w:rFonts w:ascii="Arial" w:hAnsi="Arial" w:eastAsia="Times New Roman" w:cs="Arial"/>
                <w:color w:val="000000"/>
                <w:sz w:val="20"/>
                <w:szCs w:val="20"/>
                <w:lang w:val="pt-BR" w:eastAsia="pt-BR"/>
              </w:rPr>
            </w:pPr>
            <w:r>
              <w:rPr>
                <w:rFonts w:eastAsia="Times New Roman" w:cs="Arial" w:ascii="Arial" w:hAnsi="Arial"/>
                <w:color w:val="000000"/>
                <w:kern w:val="0"/>
                <w:sz w:val="20"/>
                <w:szCs w:val="20"/>
                <w:lang w:val="pt-BR" w:eastAsia="pt-BR" w:bidi="ar-SA"/>
              </w:rPr>
              <w:t>2X</w:t>
            </w:r>
          </w:p>
        </w:tc>
        <w:tc>
          <w:tcPr>
            <w:tcW w:w="662" w:type="dxa"/>
            <w:tcBorders>
              <w:top w:val="nil"/>
              <w:left w:val="nil"/>
              <w:right w:val="nil"/>
            </w:tcBorders>
            <w:vAlign w:val="bottom"/>
          </w:tcPr>
          <w:p>
            <w:pPr>
              <w:pStyle w:val="Normal"/>
              <w:widowControl/>
              <w:pBdr/>
              <w:spacing w:before="0" w:after="0"/>
              <w:jc w:val="center"/>
              <w:rPr>
                <w:rFonts w:ascii="Arial" w:hAnsi="Arial" w:eastAsia="Times New Roman" w:cs="Arial"/>
                <w:color w:val="000000"/>
                <w:sz w:val="20"/>
                <w:szCs w:val="20"/>
                <w:lang w:val="pt-BR" w:eastAsia="pt-BR"/>
              </w:rPr>
            </w:pPr>
            <w:r>
              <w:rPr>
                <w:rFonts w:eastAsia="Times New Roman" w:cs="Arial" w:ascii="Arial" w:hAnsi="Arial"/>
                <w:color w:val="000000"/>
                <w:kern w:val="0"/>
                <w:sz w:val="20"/>
                <w:szCs w:val="20"/>
                <w:lang w:val="pt-BR" w:eastAsia="pt-BR" w:bidi="ar-SA"/>
              </w:rPr>
              <w:t>3X</w:t>
            </w:r>
          </w:p>
        </w:tc>
        <w:tc>
          <w:tcPr>
            <w:tcW w:w="900" w:type="dxa"/>
            <w:tcBorders>
              <w:top w:val="nil"/>
              <w:left w:val="nil"/>
              <w:right w:val="nil"/>
            </w:tcBorders>
            <w:vAlign w:val="bottom"/>
          </w:tcPr>
          <w:p>
            <w:pPr>
              <w:pStyle w:val="Normal"/>
              <w:widowControl/>
              <w:pBdr/>
              <w:spacing w:before="0" w:after="0"/>
              <w:jc w:val="center"/>
              <w:rPr>
                <w:rFonts w:ascii="Arial" w:hAnsi="Arial" w:eastAsia="Times New Roman" w:cs="Arial"/>
                <w:color w:val="000000"/>
                <w:sz w:val="20"/>
                <w:szCs w:val="20"/>
                <w:lang w:val="pt-BR" w:eastAsia="pt-BR"/>
              </w:rPr>
            </w:pPr>
            <w:r>
              <w:rPr>
                <w:rFonts w:eastAsia="Times New Roman" w:cs="Arial" w:ascii="Arial" w:hAnsi="Arial"/>
                <w:color w:val="000000"/>
                <w:kern w:val="0"/>
                <w:sz w:val="20"/>
                <w:szCs w:val="20"/>
                <w:lang w:val="pt-BR" w:eastAsia="pt-BR" w:bidi="ar-SA"/>
              </w:rPr>
              <w:t>4X</w:t>
            </w:r>
          </w:p>
        </w:tc>
        <w:tc>
          <w:tcPr>
            <w:tcW w:w="900" w:type="dxa"/>
            <w:tcBorders>
              <w:top w:val="nil"/>
              <w:left w:val="nil"/>
              <w:right w:val="nil"/>
            </w:tcBorders>
            <w:vAlign w:val="bottom"/>
          </w:tcPr>
          <w:p>
            <w:pPr>
              <w:pStyle w:val="Normal"/>
              <w:widowControl/>
              <w:pBdr/>
              <w:spacing w:before="0" w:after="0"/>
              <w:jc w:val="center"/>
              <w:rPr>
                <w:rFonts w:ascii="Arial" w:hAnsi="Arial" w:eastAsia="Times New Roman" w:cs="Arial"/>
                <w:color w:val="000000"/>
                <w:sz w:val="20"/>
                <w:szCs w:val="20"/>
                <w:lang w:val="pt-BR" w:eastAsia="pt-BR"/>
              </w:rPr>
            </w:pPr>
            <w:r>
              <w:rPr>
                <w:rFonts w:eastAsia="Times New Roman" w:cs="Arial" w:ascii="Arial" w:hAnsi="Arial"/>
                <w:color w:val="000000"/>
                <w:kern w:val="0"/>
                <w:sz w:val="20"/>
                <w:szCs w:val="20"/>
                <w:lang w:val="pt-BR" w:eastAsia="pt-BR" w:bidi="ar-SA"/>
              </w:rPr>
              <w:t>3X</w:t>
            </w:r>
          </w:p>
        </w:tc>
        <w:tc>
          <w:tcPr>
            <w:tcW w:w="1057" w:type="dxa"/>
            <w:tcBorders>
              <w:top w:val="nil"/>
              <w:left w:val="nil"/>
              <w:right w:val="nil"/>
            </w:tcBorders>
            <w:vAlign w:val="bottom"/>
          </w:tcPr>
          <w:p>
            <w:pPr>
              <w:pStyle w:val="Normal"/>
              <w:widowControl/>
              <w:pBdr/>
              <w:spacing w:before="0" w:after="0"/>
              <w:jc w:val="center"/>
              <w:rPr>
                <w:rFonts w:ascii="Arial" w:hAnsi="Arial" w:eastAsia="Times New Roman" w:cs="Arial"/>
                <w:color w:val="000000"/>
                <w:sz w:val="20"/>
                <w:szCs w:val="20"/>
                <w:lang w:val="pt-BR" w:eastAsia="pt-BR"/>
              </w:rPr>
            </w:pPr>
            <w:r>
              <w:rPr>
                <w:rFonts w:eastAsia="Times New Roman" w:cs="Arial" w:ascii="Arial" w:hAnsi="Arial"/>
                <w:color w:val="000000"/>
                <w:kern w:val="0"/>
                <w:sz w:val="20"/>
                <w:szCs w:val="20"/>
                <w:lang w:val="pt-BR" w:eastAsia="pt-BR" w:bidi="ar-SA"/>
              </w:rPr>
              <w:t>6X</w:t>
            </w:r>
          </w:p>
        </w:tc>
      </w:tr>
    </w:tbl>
    <w:p>
      <w:pPr>
        <w:pStyle w:val="Normal"/>
        <w:ind w:firstLine="708"/>
        <w:jc w:val="both"/>
        <w:rPr>
          <w:rFonts w:ascii="Arial" w:hAnsi="Arial" w:cs="Arial"/>
          <w:sz w:val="22"/>
          <w:lang w:val="pt-BR"/>
        </w:rPr>
      </w:pPr>
      <w:r>
        <w:rPr>
          <w:rFonts w:cs="Arial" w:ascii="Arial" w:hAnsi="Arial"/>
          <w:sz w:val="22"/>
          <w:lang w:val="pt-BR"/>
        </w:rPr>
      </w:r>
    </w:p>
    <w:p>
      <w:pPr>
        <w:pStyle w:val="Normal"/>
        <w:jc w:val="both"/>
        <w:rPr>
          <w:rFonts w:ascii="Arial" w:hAnsi="Arial" w:cs="Arial"/>
          <w:sz w:val="22"/>
          <w:lang w:val="pt-BR"/>
        </w:rPr>
      </w:pPr>
      <w:r>
        <w:rPr>
          <w:rFonts w:cs="Arial" w:ascii="Arial" w:hAnsi="Arial"/>
          <w:sz w:val="22"/>
          <w:lang w:val="pt-BR"/>
        </w:rPr>
      </w:r>
    </w:p>
    <w:p>
      <w:pPr>
        <w:pStyle w:val="Normal"/>
        <w:jc w:val="both"/>
        <w:rPr>
          <w:rFonts w:ascii="Arial" w:hAnsi="Arial" w:cs="Arial"/>
          <w:sz w:val="22"/>
          <w:lang w:val="pt-BR"/>
        </w:rPr>
      </w:pPr>
      <w:r>
        <w:rPr>
          <w:rFonts w:cs="Arial" w:ascii="Arial" w:hAnsi="Arial"/>
          <w:sz w:val="22"/>
          <w:lang w:val="pt-BR"/>
        </w:rPr>
        <w:t>Nesses pouco mais de três anos, seguindo as diretrizes técnicas recomendadas, houve evolução significativa da propriedade, em questão de maquinários, nova estrebaria e mais eficiência geral. A meta é seguir melhorando, ainda tem muita coisa básica a ser feita. Está nos planos colocar água em todos os piquetes, implantar ventilação e aspersão na sala de alimentação para reduzir o estresse térmico e começar a venda de novilhas como nova fonte de renda.</w:t>
      </w:r>
    </w:p>
    <w:p>
      <w:pPr>
        <w:pStyle w:val="Normal"/>
        <w:jc w:val="both"/>
        <w:rPr>
          <w:rFonts w:ascii="Arial" w:hAnsi="Arial" w:cs="Arial"/>
          <w:sz w:val="22"/>
          <w:lang w:val="pt-BR"/>
        </w:rPr>
      </w:pPr>
      <w:r>
        <w:rPr>
          <w:rFonts w:cs="Arial" w:ascii="Arial" w:hAnsi="Arial"/>
          <w:sz w:val="22"/>
          <w:lang w:val="pt-BR"/>
        </w:rPr>
        <w:t>Esse ano foram realizadas análises de solos, para a lavoura e para pastagem, com o objetivo de aumentar a eficiência e produtividade tanto de forragem como de silagem. Também está nos planos corrigir e adubar pelo menos uma parte dos três hectares destinados para vacas secas, mesmo sendo um terreno de difícil mecanização, pois o objetivo da propriedade é chegar em 45 vacas lactantes.</w:t>
      </w:r>
    </w:p>
    <w:p>
      <w:pPr>
        <w:pStyle w:val="LOnormal"/>
        <w:jc w:val="both"/>
        <w:rPr>
          <w:rFonts w:ascii="Arial" w:hAnsi="Arial" w:eastAsia="Arial" w:cs="Arial"/>
          <w:color w:val="000000"/>
          <w:sz w:val="22"/>
          <w:szCs w:val="22"/>
          <w:u w:val="none" w:color="000000"/>
          <w:lang w:val="pt-BR"/>
        </w:rPr>
      </w:pPr>
      <w:r>
        <w:rPr>
          <w:rFonts w:eastAsia="Arial" w:cs="Arial" w:ascii="Arial" w:hAnsi="Arial"/>
          <w:color w:val="000000"/>
          <w:sz w:val="22"/>
          <w:szCs w:val="22"/>
          <w:u w:val="none" w:color="000000"/>
          <w:lang w:val="pt-BR"/>
        </w:rPr>
      </w:r>
    </w:p>
    <w:p>
      <w:pPr>
        <w:pStyle w:val="LOnormal"/>
        <w:jc w:val="both"/>
        <w:rPr>
          <w:rFonts w:ascii="Arial" w:hAnsi="Arial"/>
          <w:b/>
          <w:b/>
          <w:bCs/>
          <w:color w:val="000000"/>
          <w:sz w:val="22"/>
          <w:szCs w:val="22"/>
          <w:u w:val="none" w:color="000000"/>
          <w:lang w:val="pt-BR"/>
        </w:rPr>
      </w:pPr>
      <w:r>
        <w:rPr>
          <w:rFonts w:ascii="Arial" w:hAnsi="Arial"/>
          <w:b/>
          <w:bCs/>
          <w:color w:val="000000"/>
          <w:sz w:val="22"/>
          <w:szCs w:val="22"/>
          <w:u w:val="none" w:color="000000"/>
          <w:lang w:val="pt-BR"/>
        </w:rPr>
        <w:t xml:space="preserve">Conclusão: </w:t>
      </w:r>
      <w:r>
        <w:rPr>
          <w:rFonts w:ascii="Arial" w:hAnsi="Arial"/>
          <w:bCs/>
          <w:color w:val="000000"/>
          <w:sz w:val="22"/>
          <w:szCs w:val="22"/>
          <w:u w:val="none" w:color="000000"/>
          <w:lang w:val="pt-BR"/>
        </w:rPr>
        <w:t xml:space="preserve">É de extrema importância, que cada produtor de leite, tenha o auxílio de um profissional na área de zootecnia, pois assim terá melhores índices, resultando em uma melhor lucratividade na sua propriedade. </w:t>
      </w:r>
    </w:p>
    <w:p>
      <w:pPr>
        <w:pStyle w:val="LOnormal"/>
        <w:ind w:right="284" w:hanging="0"/>
        <w:jc w:val="both"/>
        <w:rPr>
          <w:lang w:val="pt-BR"/>
        </w:rPr>
      </w:pPr>
      <w:r>
        <w:rPr>
          <w:lang w:val="pt-BR"/>
        </w:rPr>
      </w:r>
    </w:p>
    <w:p>
      <w:pPr>
        <w:pStyle w:val="LOnormal"/>
        <w:ind w:right="284" w:hanging="0"/>
        <w:jc w:val="both"/>
        <w:rPr>
          <w:rFonts w:ascii="Arial" w:hAnsi="Arial" w:cs="Arial"/>
          <w:b/>
          <w:b/>
          <w:sz w:val="22"/>
          <w:lang w:val="pt-BR"/>
        </w:rPr>
      </w:pPr>
      <w:r>
        <w:drawing>
          <wp:anchor behindDoc="0" distT="0" distB="152400" distL="152400" distR="152400" simplePos="0" locked="0" layoutInCell="0" allowOverlap="1" relativeHeight="4">
            <wp:simplePos x="0" y="0"/>
            <wp:positionH relativeFrom="page">
              <wp:align>left</wp:align>
            </wp:positionH>
            <wp:positionV relativeFrom="page">
              <wp:align>top</wp:align>
            </wp:positionV>
            <wp:extent cx="7556500" cy="1115060"/>
            <wp:effectExtent l="0" t="0" r="0" b="0"/>
            <wp:wrapTopAndBottom/>
            <wp:docPr id="3" name="Figura2" descr="Cabeçalho SBSS-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a2" descr="Cabeçalho SBSS-02.jpg"/>
                    <pic:cNvPicPr>
                      <a:picLocks noChangeAspect="1" noChangeArrowheads="1"/>
                    </pic:cNvPicPr>
                  </pic:nvPicPr>
                  <pic:blipFill>
                    <a:blip r:embed="rId4"/>
                    <a:stretch>
                      <a:fillRect/>
                    </a:stretch>
                  </pic:blipFill>
                  <pic:spPr bwMode="auto">
                    <a:xfrm>
                      <a:off x="0" y="0"/>
                      <a:ext cx="7556500" cy="1115060"/>
                    </a:xfrm>
                    <a:prstGeom prst="rect">
                      <a:avLst/>
                    </a:prstGeom>
                  </pic:spPr>
                </pic:pic>
              </a:graphicData>
            </a:graphic>
          </wp:anchor>
        </w:drawing>
      </w:r>
      <w:r>
        <w:rPr>
          <w:rFonts w:cs="Arial" w:ascii="Arial" w:hAnsi="Arial"/>
          <w:b/>
          <w:sz w:val="22"/>
          <w:lang w:val="pt-BR"/>
        </w:rPr>
        <w:t xml:space="preserve">Referências: </w:t>
      </w:r>
    </w:p>
    <w:p>
      <w:pPr>
        <w:pStyle w:val="LOnormal"/>
        <w:ind w:right="284" w:hanging="0"/>
        <w:jc w:val="both"/>
        <w:rPr>
          <w:rFonts w:ascii="Arial" w:hAnsi="Arial" w:cs="Arial"/>
          <w:sz w:val="22"/>
          <w:lang w:val="pt-BR"/>
        </w:rPr>
      </w:pPr>
      <w:r>
        <w:rPr>
          <w:rFonts w:cs="Arial" w:ascii="Arial" w:hAnsi="Arial"/>
          <w:sz w:val="22"/>
          <w:lang w:val="pt-BR"/>
        </w:rPr>
        <w:t xml:space="preserve">ALMEIDA, R. Nitrogênio Ureico no Leite como Ferramenta para Ajuste de Dietas- Parte I. Revista Leite Integral, Belo Horizonte, v.43, p. 8 – 12, 01 ago. 2012. Disponível em: </w:t>
      </w:r>
      <w:hyperlink r:id="rId5">
        <w:r>
          <w:rPr>
            <w:rStyle w:val="LinkdaInternet"/>
            <w:lang w:val="pt-BR"/>
          </w:rPr>
          <w:t>https://www.revistaleiteintegral.com.br/noticia/nitrogenio-ureico-no-leite-como-ferramenta-para-ajuste-de-dietas---parte-i</w:t>
        </w:r>
      </w:hyperlink>
    </w:p>
    <w:p>
      <w:pPr>
        <w:pStyle w:val="LOnormal"/>
        <w:ind w:right="284" w:hanging="0"/>
        <w:jc w:val="both"/>
        <w:rPr>
          <w:lang w:val="pt-BR"/>
        </w:rPr>
      </w:pPr>
      <w:r>
        <w:rPr>
          <w:lang w:val="pt-BR"/>
        </w:rPr>
        <w:t xml:space="preserve"> </w:t>
      </w:r>
    </w:p>
    <w:p>
      <w:pPr>
        <w:pStyle w:val="LOnormal"/>
        <w:ind w:right="284" w:hanging="0"/>
        <w:jc w:val="both"/>
        <w:rPr>
          <w:rFonts w:ascii="Arial" w:hAnsi="Arial" w:cs="Arial"/>
          <w:sz w:val="22"/>
          <w:lang w:val="pt-BR"/>
        </w:rPr>
      </w:pPr>
      <w:r>
        <w:rPr>
          <w:rFonts w:cs="Arial" w:ascii="Arial" w:hAnsi="Arial"/>
          <w:sz w:val="22"/>
          <w:lang w:val="pt-BR"/>
        </w:rPr>
      </w:r>
    </w:p>
    <w:p>
      <w:pPr>
        <w:pStyle w:val="LOnormal"/>
        <w:ind w:right="284" w:hanging="0"/>
        <w:jc w:val="both"/>
        <w:rPr>
          <w:rFonts w:ascii="Arial" w:hAnsi="Arial" w:cs="Arial"/>
          <w:sz w:val="22"/>
          <w:lang w:val="pt-BR"/>
        </w:rPr>
      </w:pPr>
      <w:r>
        <w:rPr/>
      </w:r>
    </w:p>
    <w:sectPr>
      <w:headerReference w:type="default" r:id="rId6"/>
      <w:type w:val="nextPage"/>
      <w:pgSz w:w="11906" w:h="16838"/>
      <w:pgMar w:left="1418" w:right="1418" w:gutter="0" w:header="0" w:top="1418" w:footer="0" w:bottom="1418"/>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swiss"/>
    <w:pitch w:val="variable"/>
  </w:font>
  <w:font w:name="Cambria">
    <w:charset w:val="00"/>
    <w:family w:val="roman"/>
    <w:pitch w:val="variable"/>
  </w:font>
  <w:font w:name="Helvetica Neue">
    <w:charset w:val="00"/>
    <w:family w:val="roman"/>
    <w:pitch w:val="variable"/>
  </w:font>
  <w:font w:name="Arial">
    <w:charset w:val="00"/>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rPr/>
    </w:pPr>
    <w:r>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hyphenationZone w:val="425"/>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Times New Roman"/>
        <w:lang w:val="pt-BR" w:eastAsia="pt-BR"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pBdr/>
      <w:suppressAutoHyphens w:val="false"/>
      <w:bidi w:val="0"/>
      <w:spacing w:before="0" w:after="0"/>
      <w:jc w:val="left"/>
    </w:pPr>
    <w:rPr>
      <w:rFonts w:ascii="Times New Roman" w:hAnsi="Times New Roman" w:eastAsia="Arial Unicode MS" w:cs="Times New Roman"/>
      <w:color w:val="auto"/>
      <w:kern w:val="0"/>
      <w:sz w:val="24"/>
      <w:szCs w:val="24"/>
      <w:lang w:val="en-US" w:eastAsia="en-US" w:bidi="ar-SA"/>
    </w:rPr>
  </w:style>
  <w:style w:type="character" w:styleId="DefaultParagraphFont" w:default="1">
    <w:name w:val="Default Paragraph Font"/>
    <w:uiPriority w:val="1"/>
    <w:semiHidden/>
    <w:unhideWhenUsed/>
    <w:qFormat/>
    <w:rPr/>
  </w:style>
  <w:style w:type="character" w:styleId="LinkdaInternet">
    <w:name w:val="Link da Internet"/>
    <w:rPr>
      <w:u w:val="single"/>
    </w:rPr>
  </w:style>
  <w:style w:type="character" w:styleId="CabealhoChar" w:customStyle="1">
    <w:name w:val="Cabeçalho Char"/>
    <w:basedOn w:val="DefaultParagraphFont"/>
    <w:uiPriority w:val="99"/>
    <w:qFormat/>
    <w:rsid w:val="00a70343"/>
    <w:rPr>
      <w:sz w:val="24"/>
      <w:szCs w:val="24"/>
      <w:lang w:val="en-US" w:eastAsia="en-US"/>
    </w:rPr>
  </w:style>
  <w:style w:type="character" w:styleId="RodapChar" w:customStyle="1">
    <w:name w:val="Rodapé Char"/>
    <w:basedOn w:val="DefaultParagraphFont"/>
    <w:uiPriority w:val="99"/>
    <w:qFormat/>
    <w:rsid w:val="00a70343"/>
    <w:rPr>
      <w:sz w:val="24"/>
      <w:szCs w:val="24"/>
      <w:lang w:val="en-US" w:eastAsia="en-US"/>
    </w:rPr>
  </w:style>
  <w:style w:type="character" w:styleId="Linkdainternetvisitado">
    <w:name w:val="Link da internet visitado"/>
    <w:basedOn w:val="DefaultParagraphFont"/>
    <w:uiPriority w:val="99"/>
    <w:semiHidden/>
    <w:unhideWhenUsed/>
    <w:rsid w:val="008c7c95"/>
    <w:rPr>
      <w:color w:val="FF00FF" w:themeColor="followedHyperlink"/>
      <w:u w:val="single"/>
    </w:rPr>
  </w:style>
  <w:style w:type="paragraph" w:styleId="Ttulo">
    <w:name w:val="Título"/>
    <w:basedOn w:val="Normal"/>
    <w:next w:val="Corpodotexto"/>
    <w:qFormat/>
    <w:pPr>
      <w:keepNext w:val="true"/>
      <w:spacing w:before="240" w:after="120"/>
    </w:pPr>
    <w:rPr>
      <w:rFonts w:ascii="Liberation Sans" w:hAnsi="Liberation Sans" w:eastAsia="Microsoft YaHei" w:cs="Arial"/>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Arial"/>
    </w:rPr>
  </w:style>
  <w:style w:type="paragraph" w:styleId="Legenda">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lang w:val="zxx" w:eastAsia="zxx" w:bidi="zxx"/>
    </w:rPr>
  </w:style>
  <w:style w:type="paragraph" w:styleId="LOnormal" w:customStyle="1">
    <w:name w:val="LO-normal"/>
    <w:qFormat/>
    <w:pPr>
      <w:widowControl/>
      <w:pBdr/>
      <w:suppressAutoHyphens w:val="true"/>
      <w:bidi w:val="0"/>
      <w:spacing w:before="0" w:after="0"/>
      <w:jc w:val="left"/>
    </w:pPr>
    <w:rPr>
      <w:rFonts w:ascii="Cambria" w:hAnsi="Cambria" w:cs="Arial Unicode MS" w:eastAsia="Arial Unicode MS"/>
      <w:color w:val="00000A"/>
      <w:kern w:val="0"/>
      <w:sz w:val="24"/>
      <w:szCs w:val="24"/>
      <w:u w:val="none" w:color="00000A"/>
      <w:lang w:val="en-US" w:eastAsia="pt-BR" w:bidi="ar-SA"/>
    </w:rPr>
  </w:style>
  <w:style w:type="paragraph" w:styleId="CabealhoeRodap" w:customStyle="1">
    <w:name w:val="Cabeçalho e Rodapé"/>
    <w:qFormat/>
    <w:pPr>
      <w:widowControl/>
      <w:pBdr/>
      <w:tabs>
        <w:tab w:val="clear" w:pos="720"/>
        <w:tab w:val="right" w:pos="9020" w:leader="none"/>
      </w:tabs>
      <w:bidi w:val="0"/>
      <w:spacing w:before="0" w:after="0"/>
      <w:jc w:val="left"/>
    </w:pPr>
    <w:rPr>
      <w:rFonts w:ascii="Helvetica Neue" w:hAnsi="Helvetica Neue" w:cs="Arial Unicode MS" w:eastAsia="Arial Unicode MS"/>
      <w:color w:val="000000"/>
      <w:kern w:val="0"/>
      <w:sz w:val="24"/>
      <w:szCs w:val="24"/>
      <w:lang w:val="pt-BR" w:eastAsia="pt-BR" w:bidi="ar-SA"/>
      <w14:textOutline w14:w="0" w14:cap="flat" w14:cmpd="sng" w14:algn="ctr">
        <w14:noFill/>
        <w14:prstDash w14:val="solid"/>
        <w14:bevel/>
      </w14:textOutline>
    </w:rPr>
  </w:style>
  <w:style w:type="paragraph" w:styleId="Cabealho">
    <w:name w:val="Header"/>
    <w:basedOn w:val="Normal"/>
    <w:link w:val="CabealhoChar"/>
    <w:uiPriority w:val="99"/>
    <w:unhideWhenUsed/>
    <w:rsid w:val="00a70343"/>
    <w:pPr>
      <w:tabs>
        <w:tab w:val="clear" w:pos="720"/>
        <w:tab w:val="center" w:pos="4252" w:leader="none"/>
        <w:tab w:val="right" w:pos="8504" w:leader="none"/>
      </w:tabs>
    </w:pPr>
    <w:rPr/>
  </w:style>
  <w:style w:type="paragraph" w:styleId="Rodap">
    <w:name w:val="Footer"/>
    <w:basedOn w:val="Normal"/>
    <w:link w:val="RodapChar"/>
    <w:uiPriority w:val="99"/>
    <w:unhideWhenUsed/>
    <w:rsid w:val="00a70343"/>
    <w:pPr>
      <w:tabs>
        <w:tab w:val="clear" w:pos="720"/>
        <w:tab w:val="center" w:pos="4252" w:leader="none"/>
        <w:tab w:val="right" w:pos="8504" w:leader="none"/>
      </w:tabs>
    </w:pPr>
    <w:rPr/>
  </w:style>
  <w:style w:type="numbering" w:styleId="NoList" w:default="1">
    <w:name w:val="No List"/>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customStyle="1" w:styleId="TableNormal">
    <w:name w:val="Table Normal"/>
    <w:tblPr>
      <w:tblCellMar>
        <w:top w:w="0" w:type="dxa"/>
        <w:left w:w="0" w:type="dxa"/>
        <w:bottom w:w="0" w:type="dxa"/>
        <w:right w:w="0" w:type="dxa"/>
      </w:tblCellMar>
    </w:tblPr>
  </w:style>
  <w:style w:type="table" w:styleId="Tabelacomgrade">
    <w:name w:val="Table Grid"/>
    <w:basedOn w:val="Tabelanormal"/>
    <w:uiPriority w:val="39"/>
    <w:rsid w:val="00a70d04"/>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hyperlink" Target="https://www.revistaleiteintegral.com.br/noticia/nitrogenio-ureico-no-leite-como-ferramenta-para-ajuste-de-dietas---parte-i" TargetMode="External"/><Relationship Id="rId6" Type="http://schemas.openxmlformats.org/officeDocument/2006/relationships/header" Target="header1.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LibreOffice/7.3.2.2$Windows_X86_64 LibreOffice_project/49f2b1bff42cfccbd8f788c8dc32c1c309559be0</Application>
  <AppVersion>15.0000</AppVersion>
  <Pages>2</Pages>
  <Words>1103</Words>
  <Characters>5916</Characters>
  <CharactersWithSpaces>6970</CharactersWithSpaces>
  <Paragraphs>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2023-10-19T22:44:00Z</dcterms:created>
  <dc:creator>Usuario</dc:creator>
  <dc:description/>
  <dc:language>pt-BR</dc:language>
  <cp:lastModifiedBy>Usuario</cp:lastModifiedBy>
  <dcterms:modified xsi:type="dcterms:W3CDTF">2023-10-19T22:44:00Z</dcterms:modified>
  <cp:revision>2</cp:revision>
  <dc:subject/>
  <dc:title/>
</cp:coreProperties>
</file>

<file path=docProps/custom.xml><?xml version="1.0" encoding="utf-8"?>
<Properties xmlns="http://schemas.openxmlformats.org/officeDocument/2006/custom-properties" xmlns:vt="http://schemas.openxmlformats.org/officeDocument/2006/docPropsVTypes"/>
</file>