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ind w:right="280" w:hanging="0"/>
        <w:jc w:val="center"/>
        <w:rPr>
          <w:rFonts w:ascii="Cambria" w:hAnsi="Cambria" w:eastAsia="Cambria" w:cs="Cambria"/>
          <w:color w:val="00000A"/>
        </w:rPr>
      </w:pPr>
      <w:r>
        <w:rPr>
          <w:rFonts w:eastAsia="Cambria" w:cs="Cambria" w:ascii="Cambria" w:hAnsi="Cambria"/>
          <w:color w:val="00000A"/>
        </w:rPr>
        <w:drawing>
          <wp:anchor behindDoc="1" distT="0" distB="0" distL="0" distR="0" simplePos="0" locked="0" layoutInCell="0" allowOverlap="1" relativeHeight="2">
            <wp:simplePos x="0" y="0"/>
            <wp:positionH relativeFrom="page">
              <wp:align>left</wp:align>
            </wp:positionH>
            <wp:positionV relativeFrom="page">
              <wp:align>top</wp:align>
            </wp:positionV>
            <wp:extent cx="7556500" cy="1115060"/>
            <wp:effectExtent l="0" t="0" r="0" b="0"/>
            <wp:wrapNone/>
            <wp:docPr id="1" name="image1.jpg"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bookmarkStart w:id="0" w:name="_gjdgxs"/>
      <w:bookmarkStart w:id="1" w:name="_gjdgxs"/>
      <w:bookmarkEnd w:id="1"/>
    </w:p>
    <w:p>
      <w:pPr>
        <w:pStyle w:val="Ttulo1"/>
        <w:keepNext w:val="false"/>
        <w:keepLines w:val="false"/>
        <w:widowControl w:val="false"/>
        <w:spacing w:before="78" w:after="0"/>
        <w:ind w:left="178" w:hanging="0"/>
        <w:jc w:val="center"/>
        <w:rPr>
          <w:rFonts w:ascii="Arial" w:hAnsi="Arial" w:eastAsia="Arial" w:cs="Arial"/>
          <w:sz w:val="28"/>
          <w:szCs w:val="28"/>
        </w:rPr>
      </w:pPr>
      <w:bookmarkStart w:id="2" w:name="_30j0zll"/>
      <w:bookmarkEnd w:id="2"/>
      <w:r>
        <w:rPr>
          <w:rFonts w:eastAsia="Arial" w:cs="Arial" w:ascii="Arial" w:hAnsi="Arial"/>
          <w:sz w:val="28"/>
          <w:szCs w:val="28"/>
        </w:rPr>
        <w:t>ANÁLISE DO CONSUMO VOLUNTÁRIO DE VACAS LEITEIRAS EM CONDIÇÕES EXPERIMENTAIS NO BRASIL</w:t>
      </w:r>
    </w:p>
    <w:p>
      <w:pPr>
        <w:pStyle w:val="Normal"/>
        <w:rPr>
          <w:rFonts w:eastAsia="Arial"/>
        </w:rPr>
      </w:pPr>
      <w:r>
        <w:rPr>
          <w:rFonts w:eastAsia="Arial"/>
        </w:rPr>
      </w:r>
    </w:p>
    <w:p>
      <w:pPr>
        <w:pStyle w:val="Normal"/>
        <w:shd w:val="clear" w:color="auto" w:fill="FFFFFF"/>
        <w:ind w:right="280" w:hanging="0"/>
        <w:jc w:val="center"/>
        <w:rPr>
          <w:rFonts w:ascii="Arial" w:hAnsi="Arial" w:eastAsia="Arial" w:cs="Arial"/>
          <w:sz w:val="19"/>
          <w:szCs w:val="19"/>
        </w:rPr>
      </w:pPr>
      <w:r>
        <w:rPr>
          <w:rFonts w:eastAsia="Arial" w:cs="Arial" w:ascii="Arial" w:hAnsi="Arial"/>
          <w:sz w:val="19"/>
          <w:szCs w:val="19"/>
          <w:u w:val="single"/>
        </w:rPr>
        <w:t>Ana Luiza Cristovão Gonçalves</w:t>
      </w:r>
      <w:r>
        <w:rPr>
          <w:rFonts w:eastAsia="Arial" w:cs="Arial" w:ascii="Arial" w:hAnsi="Arial"/>
          <w:sz w:val="26"/>
          <w:szCs w:val="26"/>
          <w:u w:val="single"/>
          <w:vertAlign w:val="superscript"/>
        </w:rPr>
        <w:t>1</w:t>
      </w:r>
      <w:r>
        <w:rPr>
          <w:rFonts w:eastAsia="Arial" w:cs="Arial" w:ascii="Arial" w:hAnsi="Arial"/>
          <w:b/>
          <w:sz w:val="19"/>
          <w:szCs w:val="19"/>
        </w:rPr>
        <w:t>,</w:t>
      </w:r>
      <w:r>
        <w:rPr>
          <w:rFonts w:eastAsia="Arial" w:cs="Arial" w:ascii="Arial" w:hAnsi="Arial"/>
          <w:sz w:val="19"/>
          <w:szCs w:val="19"/>
        </w:rPr>
        <w:t xml:space="preserve"> João Pedro Velho</w:t>
      </w:r>
      <w:r>
        <w:rPr>
          <w:rFonts w:eastAsia="Arial" w:cs="Arial" w:ascii="Arial" w:hAnsi="Arial"/>
          <w:sz w:val="26"/>
          <w:szCs w:val="26"/>
          <w:vertAlign w:val="superscript"/>
        </w:rPr>
        <w:t>²</w:t>
      </w:r>
      <w:r>
        <w:rPr>
          <w:rFonts w:eastAsia="Arial" w:cs="Arial" w:ascii="Arial" w:hAnsi="Arial"/>
          <w:sz w:val="19"/>
          <w:szCs w:val="19"/>
        </w:rPr>
        <w:t>, Dileta Regina Moro Alessio</w:t>
      </w:r>
      <w:r>
        <w:rPr>
          <w:rFonts w:eastAsia="Arial" w:cs="Arial" w:ascii="Arial" w:hAnsi="Arial"/>
          <w:sz w:val="26"/>
          <w:szCs w:val="26"/>
          <w:vertAlign w:val="superscript"/>
        </w:rPr>
        <w:t>³</w:t>
      </w:r>
      <w:r>
        <w:rPr>
          <w:rFonts w:eastAsia="Arial" w:cs="Arial" w:ascii="Arial" w:hAnsi="Arial"/>
          <w:sz w:val="19"/>
          <w:szCs w:val="19"/>
        </w:rPr>
        <w:t>, Deise Aline Knob</w:t>
      </w:r>
      <w:r>
        <w:rPr>
          <w:rFonts w:eastAsia="Arial" w:cs="Arial" w:ascii="Arial" w:hAnsi="Arial"/>
          <w:sz w:val="19"/>
          <w:szCs w:val="19"/>
          <w:vertAlign w:val="superscript"/>
        </w:rPr>
        <w:t>4</w:t>
      </w:r>
      <w:r>
        <w:rPr>
          <w:rFonts w:eastAsia="Arial" w:cs="Arial" w:ascii="Arial" w:hAnsi="Arial"/>
          <w:sz w:val="19"/>
          <w:szCs w:val="19"/>
        </w:rPr>
        <w:t>, Ione Maria Pereira Haygert-Velho</w:t>
      </w:r>
      <w:r>
        <w:rPr>
          <w:rFonts w:eastAsia="Arial" w:cs="Arial" w:ascii="Arial" w:hAnsi="Arial"/>
          <w:sz w:val="19"/>
          <w:szCs w:val="19"/>
          <w:vertAlign w:val="superscript"/>
        </w:rPr>
        <w:t>2</w:t>
      </w:r>
      <w:r>
        <w:rPr>
          <w:rFonts w:eastAsia="Arial" w:cs="Arial" w:ascii="Arial" w:hAnsi="Arial"/>
          <w:sz w:val="19"/>
          <w:szCs w:val="19"/>
        </w:rPr>
        <w:t>, Eduarda dos Santos Haas¹, Gabriela Elena Schneider¹, André Thaler Neto</w:t>
      </w:r>
      <w:r>
        <w:rPr>
          <w:rFonts w:eastAsia="Arial" w:cs="Arial" w:ascii="Arial" w:hAnsi="Arial"/>
          <w:sz w:val="19"/>
          <w:szCs w:val="19"/>
          <w:vertAlign w:val="superscript"/>
        </w:rPr>
        <w:t>5</w:t>
      </w:r>
      <w:r>
        <w:rPr>
          <w:rFonts w:eastAsia="Arial" w:cs="Arial" w:ascii="Arial" w:hAnsi="Arial"/>
          <w:sz w:val="19"/>
          <w:szCs w:val="19"/>
        </w:rPr>
        <w:t xml:space="preserve"> </w:t>
      </w:r>
    </w:p>
    <w:p>
      <w:pPr>
        <w:pStyle w:val="Normal"/>
        <w:shd w:val="clear" w:color="auto" w:fill="FFFFFF"/>
        <w:ind w:right="280" w:hanging="0"/>
        <w:jc w:val="center"/>
        <w:rPr>
          <w:rFonts w:ascii="Arial" w:hAnsi="Arial" w:eastAsia="Arial" w:cs="Arial"/>
          <w:sz w:val="19"/>
          <w:szCs w:val="19"/>
        </w:rPr>
      </w:pPr>
      <w:r>
        <w:rPr>
          <w:rFonts w:eastAsia="Arial" w:cs="Arial" w:ascii="Arial" w:hAnsi="Arial"/>
          <w:sz w:val="22"/>
          <w:szCs w:val="22"/>
        </w:rPr>
        <w:t xml:space="preserve"> </w:t>
      </w:r>
    </w:p>
    <w:p>
      <w:pPr>
        <w:pStyle w:val="Normal"/>
        <w:shd w:val="clear" w:color="auto" w:fill="FFFFFF"/>
        <w:ind w:right="284" w:hanging="0"/>
        <w:jc w:val="center"/>
        <w:rPr>
          <w:rFonts w:ascii="Arial" w:hAnsi="Arial" w:eastAsia="Arial" w:cs="Arial"/>
          <w:color w:val="000000"/>
          <w:sz w:val="20"/>
          <w:szCs w:val="20"/>
        </w:rPr>
      </w:pPr>
      <w:r>
        <w:rPr>
          <w:rFonts w:eastAsia="Arial" w:cs="Arial" w:ascii="Arial" w:hAnsi="Arial"/>
          <w:color w:val="000000"/>
          <w:sz w:val="20"/>
          <w:szCs w:val="20"/>
          <w:vertAlign w:val="superscript"/>
        </w:rPr>
        <w:t>1</w:t>
      </w:r>
      <w:r>
        <w:rPr>
          <w:rFonts w:eastAsia="Arial" w:cs="Arial" w:ascii="Arial" w:hAnsi="Arial"/>
          <w:color w:val="000000"/>
          <w:sz w:val="20"/>
          <w:szCs w:val="20"/>
        </w:rPr>
        <w:t xml:space="preserve">Discente. Curso de Zootecnia, Universidade Federal de Santa Maria, Campus Palmeira das Missões; </w:t>
      </w:r>
      <w:r>
        <w:rPr>
          <w:rFonts w:eastAsia="Arial" w:cs="Arial" w:ascii="Arial" w:hAnsi="Arial"/>
          <w:color w:val="000000"/>
          <w:sz w:val="20"/>
          <w:szCs w:val="20"/>
          <w:vertAlign w:val="superscript"/>
        </w:rPr>
        <w:t>2</w:t>
      </w:r>
      <w:r>
        <w:rPr>
          <w:rFonts w:eastAsia="Arial" w:cs="Arial" w:ascii="Arial" w:hAnsi="Arial"/>
          <w:color w:val="000000"/>
          <w:sz w:val="20"/>
          <w:szCs w:val="20"/>
        </w:rPr>
        <w:t xml:space="preserve">Docente. Departamento de Zootecnia e Ciências Biológicas; </w:t>
      </w:r>
      <w:r>
        <w:rPr>
          <w:rFonts w:eastAsia="Arial" w:cs="Arial" w:ascii="Arial" w:hAnsi="Arial"/>
          <w:color w:val="000000"/>
          <w:sz w:val="20"/>
          <w:szCs w:val="20"/>
          <w:vertAlign w:val="superscript"/>
        </w:rPr>
        <w:t>3</w:t>
      </w:r>
      <w:r>
        <w:rPr>
          <w:rFonts w:eastAsia="Arial" w:cs="Arial" w:ascii="Arial" w:hAnsi="Arial"/>
          <w:color w:val="000000"/>
          <w:sz w:val="20"/>
          <w:szCs w:val="20"/>
        </w:rPr>
        <w:t xml:space="preserve">Centro Universitário Leonardo da Vinci-UNIASSELVI; </w:t>
      </w:r>
      <w:r>
        <w:rPr>
          <w:rFonts w:eastAsia="Arial" w:cs="Arial" w:ascii="Arial" w:hAnsi="Arial"/>
          <w:color w:val="000000"/>
          <w:sz w:val="20"/>
          <w:szCs w:val="20"/>
          <w:vertAlign w:val="superscript"/>
        </w:rPr>
        <w:t>4</w:t>
      </w:r>
      <w:r>
        <w:rPr>
          <w:rFonts w:eastAsia="Arial" w:cs="Arial" w:ascii="Arial" w:hAnsi="Arial"/>
          <w:color w:val="000000"/>
          <w:sz w:val="20"/>
          <w:szCs w:val="20"/>
        </w:rPr>
        <w:t xml:space="preserve">JUSTUS-LIEBIG-UNIVERSITAT GIESSEN; </w:t>
      </w:r>
      <w:r>
        <w:rPr>
          <w:rFonts w:eastAsia="Arial" w:cs="Arial" w:ascii="Arial" w:hAnsi="Arial"/>
          <w:color w:val="000000"/>
          <w:sz w:val="20"/>
          <w:szCs w:val="20"/>
          <w:vertAlign w:val="superscript"/>
        </w:rPr>
        <w:t>5</w:t>
      </w:r>
      <w:r>
        <w:rPr>
          <w:rFonts w:eastAsia="Arial" w:cs="Arial" w:ascii="Arial" w:hAnsi="Arial"/>
          <w:color w:val="000000"/>
          <w:sz w:val="20"/>
          <w:szCs w:val="20"/>
        </w:rPr>
        <w:t>Departamento de Produção Animal e Alimentos, Centro de Ciências Agroveterinárias da Universidade Estadual de Santa Catarina, E-mail: analuizac.goncalves@gmail.com</w:t>
      </w:r>
    </w:p>
    <w:p>
      <w:pPr>
        <w:pStyle w:val="Normal"/>
        <w:shd w:val="clear" w:color="auto" w:fill="FFFFFF"/>
        <w:ind w:right="280" w:hanging="0"/>
        <w:jc w:val="center"/>
        <w:rPr>
          <w:rFonts w:ascii="Arial" w:hAnsi="Arial" w:eastAsia="Arial" w:cs="Arial"/>
          <w:sz w:val="19"/>
          <w:szCs w:val="19"/>
        </w:rPr>
      </w:pPr>
      <w:r>
        <w:rPr>
          <w:rFonts w:eastAsia="Arial" w:cs="Arial" w:ascii="Arial" w:hAnsi="Arial"/>
          <w:sz w:val="22"/>
          <w:szCs w:val="22"/>
        </w:rPr>
        <w:t xml:space="preserve"> </w:t>
      </w:r>
    </w:p>
    <w:p>
      <w:pPr>
        <w:pStyle w:val="Normal"/>
        <w:ind w:right="284" w:hanging="0"/>
        <w:jc w:val="center"/>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eastAsia="Arial" w:cs="Arial"/>
          <w:sz w:val="22"/>
          <w:szCs w:val="22"/>
        </w:rPr>
      </w:pPr>
      <w:r>
        <w:rPr>
          <w:rFonts w:eastAsia="Arial" w:cs="Arial" w:ascii="Arial" w:hAnsi="Arial"/>
          <w:b/>
          <w:color w:val="000000"/>
          <w:sz w:val="22"/>
          <w:szCs w:val="22"/>
        </w:rPr>
        <w:t>Contribuição para a sociedade</w:t>
      </w:r>
      <w:r>
        <w:rPr>
          <w:rFonts w:eastAsia="Arial" w:cs="Arial" w:ascii="Arial" w:hAnsi="Arial"/>
          <w:color w:val="000000"/>
          <w:sz w:val="22"/>
          <w:szCs w:val="22"/>
        </w:rPr>
        <w:t xml:space="preserve">: </w:t>
      </w:r>
      <w:r>
        <w:rPr>
          <w:rFonts w:eastAsia="Arial" w:cs="Arial" w:ascii="Arial" w:hAnsi="Arial"/>
          <w:sz w:val="22"/>
          <w:szCs w:val="22"/>
        </w:rPr>
        <w:t xml:space="preserve">Objetivou-se avaliar o consumo voluntário de vacas lactantes em condições experimentais no Brasil. A alimentação representa cerca de 70% dos custos na produção de leite. Estimar o consumo </w:t>
      </w:r>
      <w:r>
        <w:rPr>
          <w:rFonts w:eastAsia="Arial" w:cs="Arial" w:ascii="Arial" w:hAnsi="Arial"/>
          <w:color w:val="auto"/>
          <w:kern w:val="0"/>
          <w:sz w:val="22"/>
          <w:szCs w:val="22"/>
          <w:lang w:val="pt-BR" w:eastAsia="pt-BR" w:bidi="ar-SA"/>
        </w:rPr>
        <w:t>individual</w:t>
      </w:r>
      <w:r>
        <w:rPr>
          <w:rFonts w:eastAsia="Arial" w:cs="Arial" w:ascii="Arial" w:hAnsi="Arial"/>
          <w:sz w:val="22"/>
          <w:szCs w:val="22"/>
        </w:rPr>
        <w:t xml:space="preserve"> de vacas em condições de campo é uma alternativa inviável devido ao alto custo operacional. A partir de uma análise descritiva de 670 tratamentos obtivemos a média, o máximo e o mínimo de consumo voluntário de vacas em condições experimentais no Brasil. O consumo de matéria seca (CMS) apresenta valor </w:t>
      </w:r>
      <w:r>
        <w:rPr>
          <w:rFonts w:eastAsia="Arial" w:cs="Arial" w:ascii="Arial" w:hAnsi="Arial"/>
          <w:color w:val="auto"/>
          <w:kern w:val="0"/>
          <w:sz w:val="22"/>
          <w:szCs w:val="22"/>
          <w:lang w:val="pt-BR" w:eastAsia="pt-BR" w:bidi="ar-SA"/>
        </w:rPr>
        <w:t>médio</w:t>
      </w:r>
      <w:r>
        <w:rPr>
          <w:rFonts w:eastAsia="Arial" w:cs="Arial" w:ascii="Arial" w:hAnsi="Arial"/>
          <w:sz w:val="22"/>
          <w:szCs w:val="22"/>
        </w:rPr>
        <w:t xml:space="preserve"> de 17,35 kg/dia, a que está dentro dos parâmetros de exigência nutricional. Este valor pode ser insuficiente para vacas de alta produção. Outro fator destacado na análise é o consumo de fibra em detergente neutro (FDN) máximo de 11,68 kg/dia, demonstrando que as vacas estão consumindo mais que o desejado (1,25% do peso vivo). Conclui-se que o consumo voluntário a partir da análise apresenta variabilidade em cada parâmetro desejado e isto pode afetar a produção de leite. </w:t>
      </w:r>
    </w:p>
    <w:p>
      <w:pPr>
        <w:pStyle w:val="Normal"/>
        <w:jc w:val="both"/>
        <w:rPr>
          <w:rFonts w:ascii="Arial" w:hAnsi="Arial" w:eastAsia="Arial" w:cs="Arial"/>
          <w:sz w:val="22"/>
          <w:szCs w:val="22"/>
        </w:rPr>
      </w:pPr>
      <w:r>
        <w:rPr>
          <w:rFonts w:eastAsia="Arial" w:cs="Arial" w:ascii="Arial" w:hAnsi="Arial"/>
          <w:sz w:val="22"/>
          <w:szCs w:val="22"/>
        </w:rPr>
      </w:r>
    </w:p>
    <w:p>
      <w:pPr>
        <w:pStyle w:val="Normal"/>
        <w:jc w:val="both"/>
        <w:rPr>
          <w:rFonts w:ascii="Arial" w:hAnsi="Arial" w:eastAsia="Arial" w:cs="Arial"/>
          <w:color w:val="000000"/>
          <w:sz w:val="22"/>
          <w:szCs w:val="22"/>
        </w:rPr>
      </w:pPr>
      <w:r>
        <w:rPr>
          <w:rFonts w:eastAsia="Arial" w:cs="Arial" w:ascii="Arial" w:hAnsi="Arial"/>
          <w:b/>
          <w:color w:val="000000"/>
          <w:sz w:val="22"/>
          <w:szCs w:val="22"/>
        </w:rPr>
        <w:t>Palavras-chave</w:t>
      </w:r>
      <w:r>
        <w:rPr>
          <w:rFonts w:eastAsia="Arial" w:cs="Arial" w:ascii="Arial" w:hAnsi="Arial"/>
          <w:color w:val="000000"/>
          <w:sz w:val="22"/>
          <w:szCs w:val="22"/>
        </w:rPr>
        <w:t xml:space="preserve">: </w:t>
      </w:r>
      <w:r>
        <w:rPr>
          <w:rFonts w:eastAsia="Arial" w:cs="Arial" w:ascii="Arial" w:hAnsi="Arial"/>
          <w:sz w:val="22"/>
          <w:szCs w:val="22"/>
        </w:rPr>
        <w:t xml:space="preserve">Bovinocultura de leite, comportamento ingestivo, consumo de matéria seca, digestibilidade, exigência nutricional. </w:t>
      </w:r>
    </w:p>
    <w:p>
      <w:pPr>
        <w:pStyle w:val="Normal"/>
        <w:jc w:val="both"/>
        <w:rPr>
          <w:rFonts w:ascii="Arial" w:hAnsi="Arial" w:eastAsia="Arial" w:cs="Arial"/>
          <w:sz w:val="22"/>
          <w:szCs w:val="22"/>
        </w:rPr>
      </w:pPr>
      <w:r>
        <w:rPr>
          <w:rFonts w:eastAsia="Arial" w:cs="Arial" w:ascii="Arial" w:hAnsi="Arial"/>
          <w:sz w:val="22"/>
          <w:szCs w:val="22"/>
        </w:rPr>
      </w:r>
    </w:p>
    <w:p>
      <w:pPr>
        <w:pStyle w:val="Normal"/>
        <w:jc w:val="both"/>
        <w:rPr>
          <w:rFonts w:ascii="Arial" w:hAnsi="Arial" w:eastAsia="Arial" w:cs="Arial"/>
          <w:color w:val="00000A"/>
          <w:sz w:val="22"/>
          <w:szCs w:val="22"/>
        </w:rPr>
      </w:pPr>
      <w:r>
        <w:rPr>
          <w:rFonts w:eastAsia="Arial" w:cs="Arial" w:ascii="Arial" w:hAnsi="Arial"/>
          <w:b/>
          <w:color w:val="000000"/>
          <w:sz w:val="22"/>
          <w:szCs w:val="22"/>
        </w:rPr>
        <w:t xml:space="preserve">Introdução: </w:t>
      </w:r>
      <w:r>
        <w:rPr>
          <w:rFonts w:eastAsia="Arial" w:cs="Arial" w:ascii="Arial" w:hAnsi="Arial"/>
          <w:sz w:val="22"/>
          <w:szCs w:val="22"/>
        </w:rPr>
        <w:t>A alimentação de vacas leiteiras é o fator que mais contribui para os custos de produção. Portanto, é importante determinar ou estimar com precisão o consumo de alimentos. A informação mais precisa sobre a qualidade e quantidade de alimento consumido pode ser usada para verificar se as exigências nutricionais do animal estão sendo atendidas. No caso de vacas em lactação, a quantificação dessas exigências deve levar em consideração a produção de leite, o peso corporal, o estágio reprodutivo, a condição corporal e a locomoção. O</w:t>
      </w:r>
      <w:r>
        <w:rPr>
          <w:rFonts w:eastAsia="Arial" w:cs="Arial" w:ascii="Arial" w:hAnsi="Arial"/>
          <w:color w:val="00000A"/>
          <w:sz w:val="22"/>
          <w:szCs w:val="22"/>
        </w:rPr>
        <w:t xml:space="preserve"> consumo de alimentos pode ser mensurado através da quantidade de matéria seca ingerida ao longo de 24 horas (kg/MS/dia) que envolve algumas variáveis como duração das refeições, número de refeições e taxas de ingestão. Este consumo pode ter relações positivas e negativas com a produção de leite envolvendo as variáveis apresentadas. Há anos que se busca estimar o consumo de vacas leiteiras através de equações de predições baseadas em análises de regressão múltipla entre o consumo observado e variáveis que se supõem afetá-lo. </w:t>
      </w:r>
      <w:r>
        <w:rPr>
          <w:rFonts w:eastAsia="Arial" w:cs="Arial" w:ascii="Arial" w:hAnsi="Arial"/>
          <w:color w:val="00000A"/>
          <w:kern w:val="0"/>
          <w:sz w:val="22"/>
          <w:szCs w:val="22"/>
          <w:lang w:val="pt-BR" w:eastAsia="pt-BR" w:bidi="ar-SA"/>
        </w:rPr>
        <w:t>No entanto, além</w:t>
      </w:r>
      <w:r>
        <w:rPr>
          <w:rFonts w:eastAsia="Arial" w:cs="Arial" w:ascii="Arial" w:hAnsi="Arial"/>
          <w:color w:val="00000A"/>
          <w:sz w:val="22"/>
          <w:szCs w:val="22"/>
        </w:rPr>
        <w:t xml:space="preserve"> da composição dos alimentos é preciso levar em consideração aspectos de manejo, efeitos do clima e condições fisiológicas do animal, aspectos os quais complicam na predição acurada do consumo</w:t>
      </w:r>
      <w:r>
        <w:rPr>
          <w:rFonts w:eastAsia="Arial" w:cs="Arial" w:ascii="Arial" w:hAnsi="Arial"/>
          <w:color w:val="FF0000"/>
          <w:sz w:val="22"/>
          <w:szCs w:val="22"/>
        </w:rPr>
        <w:t xml:space="preserve"> </w:t>
      </w:r>
      <w:r>
        <w:rPr>
          <w:rFonts w:eastAsia="Arial" w:cs="Arial" w:ascii="Arial" w:hAnsi="Arial"/>
          <w:color w:val="00000A"/>
          <w:sz w:val="22"/>
          <w:szCs w:val="22"/>
        </w:rPr>
        <w:t>(Allen e Bradford, 2009).</w:t>
      </w:r>
    </w:p>
    <w:p>
      <w:pPr>
        <w:pStyle w:val="Normal"/>
        <w:shd w:val="clear" w:color="auto" w:fill="FFFFFF"/>
        <w:ind w:firstLine="720"/>
        <w:jc w:val="both"/>
        <w:rPr>
          <w:rFonts w:ascii="Arial" w:hAnsi="Arial" w:eastAsia="Arial" w:cs="Arial"/>
          <w:sz w:val="22"/>
          <w:szCs w:val="22"/>
        </w:rPr>
      </w:pPr>
      <w:r>
        <w:rPr>
          <w:rFonts w:eastAsia="Arial" w:cs="Arial" w:ascii="Arial" w:hAnsi="Arial"/>
          <w:color w:val="00000A"/>
          <w:sz w:val="22"/>
          <w:szCs w:val="22"/>
        </w:rPr>
        <w:t>Estimar o consumo voluntário de volumosos é de grande importância na prática pois, além de diminuir os custos de alimentação com a suplementação de concentrado, os volumosos podem afetar o consumo voluntário pelo fator de enchimento no rúmen, especialmente com forrageiras com alto teor de FDN. Portanto, sabendo da devida importância do controle de consumo e as múltiplas variáveis ligadas à alimentação que podem afetá-lo, objetivamos analisar o consumo voluntário de vacas leiteiras em condições experimentais no Brasil.</w:t>
      </w:r>
    </w:p>
    <w:p>
      <w:pPr>
        <w:pStyle w:val="Normal"/>
        <w:jc w:val="both"/>
        <w:rPr>
          <w:rFonts w:ascii="Arial" w:hAnsi="Arial" w:eastAsia="Arial" w:cs="Arial"/>
          <w:color w:val="000000"/>
          <w:sz w:val="22"/>
          <w:szCs w:val="22"/>
        </w:rPr>
      </w:pPr>
      <w:r>
        <w:rPr>
          <w:rFonts w:eastAsia="Arial" w:cs="Arial" w:ascii="Arial" w:hAnsi="Arial"/>
          <w:color w:val="000000"/>
          <w:sz w:val="22"/>
          <w:szCs w:val="22"/>
        </w:rPr>
        <w:drawing>
          <wp:anchor behindDoc="1" distT="0" distB="0" distL="0" distR="0" simplePos="0" locked="0" layoutInCell="0" allowOverlap="1" relativeHeight="3">
            <wp:simplePos x="0" y="0"/>
            <wp:positionH relativeFrom="page">
              <wp:align>left</wp:align>
            </wp:positionH>
            <wp:positionV relativeFrom="page">
              <wp:align>top</wp:align>
            </wp:positionV>
            <wp:extent cx="7556500" cy="1115060"/>
            <wp:effectExtent l="0" t="0" r="0" b="0"/>
            <wp:wrapNone/>
            <wp:docPr id="2" name="Imagem 213121817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131218171" descr="Cabeçalho SBSS-02.jpg"/>
                    <pic:cNvPicPr>
                      <a:picLocks noChangeAspect="1" noChangeArrowheads="1"/>
                    </pic:cNvPicPr>
                  </pic:nvPicPr>
                  <pic:blipFill>
                    <a:blip r:embed="rId3"/>
                    <a:stretch>
                      <a:fillRect/>
                    </a:stretch>
                  </pic:blipFill>
                  <pic:spPr bwMode="auto">
                    <a:xfrm>
                      <a:off x="0" y="0"/>
                      <a:ext cx="7556500" cy="1115060"/>
                    </a:xfrm>
                    <a:prstGeom prst="rect">
                      <a:avLst/>
                    </a:prstGeom>
                  </pic:spPr>
                </pic:pic>
              </a:graphicData>
            </a:graphic>
          </wp:anchor>
        </w:drawing>
      </w:r>
    </w:p>
    <w:p>
      <w:pPr>
        <w:pStyle w:val="Normal"/>
        <w:jc w:val="both"/>
        <w:rPr>
          <w:rFonts w:ascii="Arial" w:hAnsi="Arial" w:eastAsia="Arial" w:cs="Arial"/>
          <w:sz w:val="22"/>
          <w:szCs w:val="22"/>
        </w:rPr>
      </w:pPr>
      <w:bookmarkStart w:id="3" w:name="_1fob9te"/>
      <w:bookmarkEnd w:id="3"/>
      <w:r>
        <w:rPr>
          <w:rFonts w:eastAsia="Arial" w:cs="Arial" w:ascii="Arial" w:hAnsi="Arial"/>
          <w:b/>
          <w:color w:val="000000"/>
          <w:sz w:val="22"/>
          <w:szCs w:val="22"/>
        </w:rPr>
        <w:t>Material e métodos:</w:t>
      </w:r>
      <w:r>
        <w:rPr>
          <w:rFonts w:eastAsia="Arial" w:cs="Arial" w:ascii="Arial" w:hAnsi="Arial"/>
          <w:color w:val="000000"/>
          <w:sz w:val="22"/>
          <w:szCs w:val="22"/>
        </w:rPr>
        <w:t xml:space="preserve"> </w:t>
      </w:r>
      <w:r>
        <w:rPr>
          <w:rFonts w:eastAsia="Arial" w:cs="Arial" w:ascii="Arial" w:hAnsi="Arial"/>
          <w:sz w:val="22"/>
          <w:szCs w:val="22"/>
        </w:rPr>
        <w:t xml:space="preserve">Para a realização deste estudo utilizamos a parte descritiva da base de dados da tese de doutorado de Dileta Regina Moro Alessio que consistiu em uma revisão sistemática de trabalhos científicos, de domínio público, relacionados a número e a proporção de volumosos e dos ingredientes do concentrado, composição da dieta, consumo voluntário, digestibilidade aparente dos nutrientes, produção e composição do leite das vacas leiteiras em condições experimentais no Brasil publicados nos sites </w:t>
      </w:r>
      <w:r>
        <w:rPr>
          <w:rFonts w:eastAsia="Arial" w:cs="Arial" w:ascii="Arial" w:hAnsi="Arial"/>
          <w:i/>
          <w:sz w:val="22"/>
          <w:szCs w:val="22"/>
        </w:rPr>
        <w:t>Scientific</w:t>
      </w:r>
      <w:r>
        <w:rPr>
          <w:rFonts w:eastAsia="Arial" w:cs="Arial" w:ascii="Arial" w:hAnsi="Arial"/>
          <w:b/>
          <w:i/>
          <w:sz w:val="22"/>
          <w:szCs w:val="22"/>
        </w:rPr>
        <w:t xml:space="preserve"> </w:t>
      </w:r>
      <w:r>
        <w:rPr>
          <w:rFonts w:eastAsia="Arial" w:cs="Arial" w:ascii="Arial" w:hAnsi="Arial"/>
          <w:i/>
          <w:sz w:val="22"/>
          <w:szCs w:val="22"/>
        </w:rPr>
        <w:t xml:space="preserve">Electronic Library Online </w:t>
      </w:r>
      <w:r>
        <w:rPr>
          <w:rFonts w:eastAsia="Arial" w:cs="Arial" w:ascii="Arial" w:hAnsi="Arial"/>
          <w:sz w:val="22"/>
          <w:szCs w:val="22"/>
        </w:rPr>
        <w:t xml:space="preserve">(SciELO), Instituto Brasileiro de Informação em Ciência e </w:t>
      </w:r>
    </w:p>
    <w:p>
      <w:pPr>
        <w:pStyle w:val="Normal"/>
        <w:jc w:val="both"/>
        <w:rPr>
          <w:rFonts w:ascii="Arial" w:hAnsi="Arial" w:eastAsia="Arial" w:cs="Arial"/>
          <w:sz w:val="22"/>
          <w:szCs w:val="22"/>
        </w:rPr>
      </w:pPr>
      <w:r>
        <w:rPr>
          <w:rFonts w:eastAsia="Arial" w:cs="Arial" w:ascii="Arial" w:hAnsi="Arial"/>
          <w:sz w:val="22"/>
          <w:szCs w:val="22"/>
        </w:rPr>
      </w:r>
    </w:p>
    <w:p>
      <w:pPr>
        <w:pStyle w:val="Normal"/>
        <w:jc w:val="both"/>
        <w:rPr>
          <w:rFonts w:ascii="Arial" w:hAnsi="Arial" w:eastAsia="Arial" w:cs="Arial"/>
          <w:sz w:val="22"/>
          <w:szCs w:val="22"/>
        </w:rPr>
      </w:pPr>
      <w:r>
        <w:rPr>
          <w:rFonts w:eastAsia="Arial" w:cs="Arial" w:ascii="Arial" w:hAnsi="Arial"/>
          <w:sz w:val="22"/>
          <w:szCs w:val="22"/>
        </w:rPr>
      </w:r>
    </w:p>
    <w:p>
      <w:pPr>
        <w:pStyle w:val="Normal"/>
        <w:jc w:val="both"/>
        <w:rPr>
          <w:rFonts w:ascii="Arial" w:hAnsi="Arial" w:eastAsia="Arial" w:cs="Arial"/>
          <w:sz w:val="22"/>
          <w:szCs w:val="22"/>
        </w:rPr>
      </w:pPr>
      <w:r>
        <w:rPr>
          <w:rFonts w:eastAsia="Arial" w:cs="Arial" w:ascii="Arial" w:hAnsi="Arial"/>
          <w:sz w:val="22"/>
          <w:szCs w:val="22"/>
        </w:rPr>
        <w:t xml:space="preserve">Tecnologia (IBICT), Google Acadêmico e nas principais revistas da área. O banco de dados coletados foi de trabalhos desenvolvidos e publicados entre janeiro de 2000 e dezembro de 2015, foram contabilizados ao total 169 experimentos, 670 tratamentos envolvendo 5.457 vacas em lactação. </w:t>
      </w:r>
    </w:p>
    <w:p>
      <w:pPr>
        <w:pStyle w:val="Normal"/>
        <w:jc w:val="both"/>
        <w:rPr>
          <w:rFonts w:ascii="Arial" w:hAnsi="Arial" w:eastAsia="Arial" w:cs="Arial"/>
          <w:sz w:val="22"/>
          <w:szCs w:val="22"/>
        </w:rPr>
      </w:pPr>
      <w:r>
        <w:rPr>
          <w:rFonts w:eastAsia="Arial" w:cs="Arial" w:ascii="Arial" w:hAnsi="Arial"/>
          <w:sz w:val="22"/>
          <w:szCs w:val="22"/>
        </w:rPr>
      </w:r>
      <w:bookmarkStart w:id="4" w:name="_3znysh7"/>
      <w:bookmarkStart w:id="5" w:name="_3znysh7"/>
      <w:bookmarkEnd w:id="5"/>
    </w:p>
    <w:p>
      <w:pPr>
        <w:pStyle w:val="Normal"/>
        <w:jc w:val="both"/>
        <w:rPr>
          <w:rFonts w:ascii="Arial" w:hAnsi="Arial" w:eastAsia="Arial" w:cs="Arial"/>
          <w:color w:val="000000"/>
          <w:sz w:val="22"/>
          <w:szCs w:val="22"/>
        </w:rPr>
      </w:pPr>
      <w:r>
        <w:rPr>
          <w:rFonts w:eastAsia="Arial" w:cs="Arial" w:ascii="Arial" w:hAnsi="Arial"/>
          <w:b/>
          <w:color w:val="000000"/>
          <w:sz w:val="22"/>
          <w:szCs w:val="22"/>
        </w:rPr>
        <w:t>Resultados e discussões:</w:t>
      </w:r>
      <w:r>
        <w:rPr>
          <w:rFonts w:eastAsia="Arial" w:cs="Arial" w:ascii="Arial" w:hAnsi="Arial"/>
          <w:color w:val="000000"/>
          <w:sz w:val="22"/>
          <w:szCs w:val="22"/>
        </w:rPr>
        <w:t xml:space="preserve"> </w:t>
      </w:r>
      <w:r>
        <w:rPr>
          <w:rFonts w:eastAsia="Arial" w:cs="Arial" w:ascii="Arial" w:hAnsi="Arial"/>
          <w:sz w:val="22"/>
          <w:szCs w:val="22"/>
        </w:rPr>
        <w:t xml:space="preserve">Os dados da Tabela 1 mostram que o consumo voluntário de matéria seca foi em média 17,35 kg/dia, ou seja, a média está dentro dos parâmetros para as exigências de vacas, porém ainda insuficiente para altos desempenhos, com produções acima de 30 litros/vaca/dia. </w:t>
      </w:r>
      <w:r>
        <w:rPr>
          <w:rFonts w:eastAsia="Arial" w:cs="Arial" w:ascii="Arial" w:hAnsi="Arial"/>
          <w:color w:val="000000"/>
          <w:sz w:val="22"/>
          <w:szCs w:val="22"/>
        </w:rPr>
        <w:t>O CMS</w:t>
      </w:r>
      <w:r>
        <w:rPr>
          <w:rFonts w:eastAsia="Arial" w:cs="Arial" w:ascii="Arial" w:hAnsi="Arial"/>
          <w:sz w:val="22"/>
          <w:szCs w:val="22"/>
        </w:rPr>
        <w:t xml:space="preserve"> e sua digestibilidade determinam a quantidade de nutrientes necessária para manutenção e produção de leite (NRC, 2001). O CMS média de uma vaca em lactação de 500 kg é de 15 quilogramas por dia, o que corresponde a 3% do peso vivo.  O consumo de fibra em detergente neutro ficou em média 6,54 kg/dia (Tabela 1) o que representa 1,22% do peso vivo. A FDN</w:t>
      </w:r>
      <w:r>
        <w:rPr>
          <w:rFonts w:eastAsia="Arial" w:cs="Arial" w:ascii="Arial" w:hAnsi="Arial"/>
          <w:color w:val="FF0000"/>
          <w:sz w:val="22"/>
          <w:szCs w:val="22"/>
        </w:rPr>
        <w:t xml:space="preserve"> </w:t>
      </w:r>
      <w:r>
        <w:rPr>
          <w:rFonts w:eastAsia="Arial" w:cs="Arial" w:ascii="Arial" w:hAnsi="Arial"/>
          <w:sz w:val="22"/>
          <w:szCs w:val="22"/>
        </w:rPr>
        <w:t xml:space="preserve">pode ser usada como parâmetro para limitar o consumo de matéria seca (Mertens,1994). Mertens (1994) apontou que o máximo de consumo de matéria seca e de produção de leite foi em relação a 1,25% do peso vivo de consumo de FDN para vacas em meio e final de lactação. Ao observarmos o máximo de consumo de FDN de 11,68 kg/dia (Tabela 1) e 2,73% do peso vivo, detecta-se que as vacas em lactação podem estar sendo forçadas a consumir mais FDN devido à redução de partículas da dieta.  </w:t>
      </w:r>
    </w:p>
    <w:p>
      <w:pPr>
        <w:pStyle w:val="Normal"/>
        <w:jc w:val="both"/>
        <w:rPr>
          <w:rFonts w:ascii="Arial" w:hAnsi="Arial" w:eastAsia="Arial" w:cs="Arial"/>
          <w:sz w:val="22"/>
          <w:szCs w:val="22"/>
        </w:rPr>
      </w:pPr>
      <w:r>
        <w:rPr>
          <w:rFonts w:eastAsia="Arial" w:cs="Arial" w:ascii="Arial" w:hAnsi="Arial"/>
          <w:sz w:val="22"/>
          <w:szCs w:val="22"/>
        </w:rPr>
      </w:r>
    </w:p>
    <w:p>
      <w:pPr>
        <w:pStyle w:val="Normal"/>
        <w:widowControl w:val="false"/>
        <w:ind w:right="290" w:firstLine="720"/>
        <w:jc w:val="both"/>
        <w:rPr>
          <w:rFonts w:ascii="Arial" w:hAnsi="Arial" w:eastAsia="Arial" w:cs="Arial"/>
          <w:b/>
          <w:b/>
          <w:sz w:val="20"/>
          <w:szCs w:val="20"/>
        </w:rPr>
      </w:pPr>
      <w:r>
        <w:rPr>
          <w:rFonts w:eastAsia="Arial" w:cs="Arial" w:ascii="Arial" w:hAnsi="Arial"/>
          <w:b/>
          <w:color w:val="000000"/>
          <w:sz w:val="20"/>
          <w:szCs w:val="20"/>
        </w:rPr>
        <w:t xml:space="preserve">Tabela 1. </w:t>
      </w:r>
      <w:r>
        <w:rPr>
          <w:rFonts w:eastAsia="Arial" w:cs="Arial" w:ascii="Arial" w:hAnsi="Arial"/>
          <w:b/>
          <w:sz w:val="20"/>
          <w:szCs w:val="20"/>
        </w:rPr>
        <w:t>Consumo voluntário expresso na forma absoluta, para a alimentação de vacas leiteiras em condições experimentais no Brasil.</w:t>
      </w:r>
    </w:p>
    <w:p>
      <w:pPr>
        <w:pStyle w:val="Normal"/>
        <w:widowControl w:val="false"/>
        <w:ind w:right="290" w:firstLine="720"/>
        <w:jc w:val="both"/>
        <w:rPr>
          <w:rFonts w:ascii="Arial" w:hAnsi="Arial" w:eastAsia="Arial" w:cs="Arial"/>
          <w:b/>
          <w:b/>
          <w:sz w:val="20"/>
          <w:szCs w:val="20"/>
        </w:rPr>
      </w:pPr>
      <w:r>
        <w:rPr>
          <w:rFonts w:eastAsia="Arial" w:cs="Arial" w:ascii="Arial" w:hAnsi="Arial"/>
          <w:b/>
          <w:sz w:val="20"/>
          <w:szCs w:val="20"/>
        </w:rPr>
      </w:r>
    </w:p>
    <w:tbl>
      <w:tblPr>
        <w:tblStyle w:val="a"/>
        <w:tblW w:w="9105" w:type="dxa"/>
        <w:jc w:val="left"/>
        <w:tblInd w:w="-34" w:type="dxa"/>
        <w:tblLayout w:type="fixed"/>
        <w:tblCellMar>
          <w:top w:w="0" w:type="dxa"/>
          <w:left w:w="108" w:type="dxa"/>
          <w:bottom w:w="0" w:type="dxa"/>
          <w:right w:w="108" w:type="dxa"/>
        </w:tblCellMar>
        <w:tblLook w:firstRow="0" w:noVBand="1" w:lastRow="0" w:firstColumn="0" w:lastColumn="0" w:noHBand="0" w:val="0400"/>
      </w:tblPr>
      <w:tblGrid>
        <w:gridCol w:w="4140"/>
        <w:gridCol w:w="855"/>
        <w:gridCol w:w="1065"/>
        <w:gridCol w:w="915"/>
        <w:gridCol w:w="1142"/>
        <w:gridCol w:w="987"/>
      </w:tblGrid>
      <w:tr>
        <w:trPr/>
        <w:tc>
          <w:tcPr>
            <w:tcW w:w="4140" w:type="dxa"/>
            <w:tcBorders>
              <w:top w:val="single" w:sz="12" w:space="0" w:color="000000"/>
              <w:bottom w:val="single" w:sz="4" w:space="0" w:color="000000"/>
            </w:tcBorders>
            <w:shd w:color="auto" w:fill="auto" w:val="clear"/>
            <w:vAlign w:val="center"/>
          </w:tcPr>
          <w:p>
            <w:pPr>
              <w:pStyle w:val="Normal"/>
              <w:widowControl w:val="false"/>
              <w:jc w:val="both"/>
              <w:rPr/>
            </w:pPr>
            <w:r>
              <w:rPr/>
              <w:t>Variáveis</w:t>
            </w:r>
          </w:p>
        </w:tc>
        <w:tc>
          <w:tcPr>
            <w:tcW w:w="855" w:type="dxa"/>
            <w:tcBorders>
              <w:top w:val="single" w:sz="12" w:space="0" w:color="000000"/>
              <w:bottom w:val="single" w:sz="4" w:space="0" w:color="000000"/>
            </w:tcBorders>
            <w:shd w:color="auto" w:fill="auto" w:val="clear"/>
          </w:tcPr>
          <w:p>
            <w:pPr>
              <w:pStyle w:val="Normal"/>
              <w:widowControl w:val="false"/>
              <w:jc w:val="center"/>
              <w:rPr/>
            </w:pPr>
            <w:r>
              <w:rPr/>
              <w:t>N</w:t>
            </w:r>
          </w:p>
        </w:tc>
        <w:tc>
          <w:tcPr>
            <w:tcW w:w="1065" w:type="dxa"/>
            <w:tcBorders>
              <w:top w:val="single" w:sz="12" w:space="0" w:color="000000"/>
              <w:bottom w:val="single" w:sz="4" w:space="0" w:color="000000"/>
            </w:tcBorders>
            <w:shd w:color="auto" w:fill="auto" w:val="clear"/>
          </w:tcPr>
          <w:p>
            <w:pPr>
              <w:pStyle w:val="Normal"/>
              <w:widowControl w:val="false"/>
              <w:jc w:val="center"/>
              <w:rPr/>
            </w:pPr>
            <w:r>
              <w:rPr/>
              <w:t>Mínimo</w:t>
            </w:r>
          </w:p>
        </w:tc>
        <w:tc>
          <w:tcPr>
            <w:tcW w:w="915" w:type="dxa"/>
            <w:tcBorders>
              <w:top w:val="single" w:sz="12" w:space="0" w:color="000000"/>
              <w:bottom w:val="single" w:sz="4" w:space="0" w:color="000000"/>
            </w:tcBorders>
            <w:shd w:color="auto" w:fill="auto" w:val="clear"/>
          </w:tcPr>
          <w:p>
            <w:pPr>
              <w:pStyle w:val="Normal"/>
              <w:widowControl w:val="false"/>
              <w:jc w:val="center"/>
              <w:rPr/>
            </w:pPr>
            <w:r>
              <w:rPr/>
              <w:t>Média</w:t>
            </w:r>
          </w:p>
        </w:tc>
        <w:tc>
          <w:tcPr>
            <w:tcW w:w="1142" w:type="dxa"/>
            <w:tcBorders>
              <w:top w:val="single" w:sz="12" w:space="0" w:color="000000"/>
              <w:bottom w:val="single" w:sz="4" w:space="0" w:color="000000"/>
            </w:tcBorders>
            <w:shd w:color="auto" w:fill="auto" w:val="clear"/>
          </w:tcPr>
          <w:p>
            <w:pPr>
              <w:pStyle w:val="Normal"/>
              <w:widowControl w:val="false"/>
              <w:jc w:val="center"/>
              <w:rPr/>
            </w:pPr>
            <w:r>
              <w:rPr/>
              <w:t>Máximo</w:t>
            </w:r>
          </w:p>
        </w:tc>
        <w:tc>
          <w:tcPr>
            <w:tcW w:w="987" w:type="dxa"/>
            <w:tcBorders>
              <w:top w:val="single" w:sz="12" w:space="0" w:color="000000"/>
              <w:bottom w:val="single" w:sz="4" w:space="0" w:color="000000"/>
            </w:tcBorders>
            <w:shd w:color="auto" w:fill="auto" w:val="clear"/>
          </w:tcPr>
          <w:p>
            <w:pPr>
              <w:pStyle w:val="Normal"/>
              <w:widowControl w:val="false"/>
              <w:jc w:val="center"/>
              <w:rPr/>
            </w:pPr>
            <w:r>
              <w:rPr/>
              <w:t>DP</w:t>
            </w:r>
          </w:p>
        </w:tc>
      </w:tr>
      <w:tr>
        <w:trPr/>
        <w:tc>
          <w:tcPr>
            <w:tcW w:w="4140" w:type="dxa"/>
            <w:tcBorders>
              <w:top w:val="single" w:sz="4" w:space="0" w:color="000000"/>
              <w:bottom w:val="single" w:sz="4" w:space="0" w:color="000000"/>
            </w:tcBorders>
            <w:shd w:color="auto" w:fill="auto" w:val="clear"/>
          </w:tcPr>
          <w:p>
            <w:pPr>
              <w:pStyle w:val="Normal"/>
              <w:widowControl w:val="false"/>
              <w:jc w:val="both"/>
              <w:rPr/>
            </w:pPr>
            <w:r>
              <w:rPr/>
            </w:r>
          </w:p>
        </w:tc>
        <w:tc>
          <w:tcPr>
            <w:tcW w:w="4964" w:type="dxa"/>
            <w:gridSpan w:val="5"/>
            <w:tcBorders>
              <w:top w:val="single" w:sz="4" w:space="0" w:color="000000"/>
              <w:bottom w:val="single" w:sz="4" w:space="0" w:color="000000"/>
            </w:tcBorders>
            <w:shd w:color="auto" w:fill="auto" w:val="clear"/>
          </w:tcPr>
          <w:p>
            <w:pPr>
              <w:pStyle w:val="Normal"/>
              <w:widowControl w:val="false"/>
              <w:jc w:val="center"/>
              <w:rPr/>
            </w:pPr>
            <w:r>
              <w:rPr/>
              <w:t>Consumo expresso em quilograma por dia (kg/dia)</w:t>
            </w:r>
          </w:p>
        </w:tc>
      </w:tr>
      <w:tr>
        <w:trPr/>
        <w:tc>
          <w:tcPr>
            <w:tcW w:w="4140" w:type="dxa"/>
            <w:tcBorders>
              <w:top w:val="single" w:sz="4" w:space="0" w:color="000000"/>
            </w:tcBorders>
            <w:shd w:color="auto" w:fill="auto" w:val="clear"/>
          </w:tcPr>
          <w:p>
            <w:pPr>
              <w:pStyle w:val="Normal"/>
              <w:widowControl w:val="false"/>
              <w:jc w:val="both"/>
              <w:rPr/>
            </w:pPr>
            <w:r>
              <w:rPr/>
              <w:t>Consumo de matéria seca</w:t>
            </w:r>
          </w:p>
        </w:tc>
        <w:tc>
          <w:tcPr>
            <w:tcW w:w="855" w:type="dxa"/>
            <w:tcBorders>
              <w:top w:val="single" w:sz="4" w:space="0" w:color="000000"/>
            </w:tcBorders>
            <w:shd w:color="auto" w:fill="auto" w:val="clear"/>
          </w:tcPr>
          <w:p>
            <w:pPr>
              <w:pStyle w:val="Normal"/>
              <w:widowControl w:val="false"/>
              <w:jc w:val="center"/>
              <w:rPr/>
            </w:pPr>
            <w:r>
              <w:rPr/>
              <w:t>641</w:t>
            </w:r>
          </w:p>
        </w:tc>
        <w:tc>
          <w:tcPr>
            <w:tcW w:w="1065" w:type="dxa"/>
            <w:tcBorders>
              <w:top w:val="single" w:sz="4" w:space="0" w:color="000000"/>
            </w:tcBorders>
            <w:shd w:color="auto" w:fill="auto" w:val="clear"/>
          </w:tcPr>
          <w:p>
            <w:pPr>
              <w:pStyle w:val="Normal"/>
              <w:widowControl w:val="false"/>
              <w:jc w:val="center"/>
              <w:rPr/>
            </w:pPr>
            <w:r>
              <w:rPr/>
              <w:t>5,32</w:t>
            </w:r>
          </w:p>
        </w:tc>
        <w:tc>
          <w:tcPr>
            <w:tcW w:w="915" w:type="dxa"/>
            <w:tcBorders>
              <w:top w:val="single" w:sz="4" w:space="0" w:color="000000"/>
            </w:tcBorders>
            <w:shd w:color="auto" w:fill="auto" w:val="clear"/>
          </w:tcPr>
          <w:p>
            <w:pPr>
              <w:pStyle w:val="Normal"/>
              <w:widowControl w:val="false"/>
              <w:jc w:val="center"/>
              <w:rPr/>
            </w:pPr>
            <w:r>
              <w:rPr/>
              <w:t>17,35</w:t>
            </w:r>
          </w:p>
        </w:tc>
        <w:tc>
          <w:tcPr>
            <w:tcW w:w="1142" w:type="dxa"/>
            <w:tcBorders>
              <w:top w:val="single" w:sz="4" w:space="0" w:color="000000"/>
            </w:tcBorders>
            <w:shd w:color="auto" w:fill="auto" w:val="clear"/>
          </w:tcPr>
          <w:p>
            <w:pPr>
              <w:pStyle w:val="Normal"/>
              <w:widowControl w:val="false"/>
              <w:jc w:val="center"/>
              <w:rPr/>
            </w:pPr>
            <w:r>
              <w:rPr/>
              <w:t>25,30</w:t>
            </w:r>
          </w:p>
        </w:tc>
        <w:tc>
          <w:tcPr>
            <w:tcW w:w="987" w:type="dxa"/>
            <w:tcBorders>
              <w:top w:val="single" w:sz="4" w:space="0" w:color="000000"/>
            </w:tcBorders>
            <w:shd w:color="auto" w:fill="auto" w:val="clear"/>
          </w:tcPr>
          <w:p>
            <w:pPr>
              <w:pStyle w:val="Normal"/>
              <w:widowControl w:val="false"/>
              <w:jc w:val="center"/>
              <w:rPr/>
            </w:pPr>
            <w:r>
              <w:rPr/>
              <w:t>3,39</w:t>
            </w:r>
          </w:p>
        </w:tc>
      </w:tr>
      <w:tr>
        <w:trPr/>
        <w:tc>
          <w:tcPr>
            <w:tcW w:w="4140" w:type="dxa"/>
            <w:tcBorders/>
            <w:shd w:color="auto" w:fill="auto" w:val="clear"/>
          </w:tcPr>
          <w:p>
            <w:pPr>
              <w:pStyle w:val="Normal"/>
              <w:widowControl w:val="false"/>
              <w:jc w:val="both"/>
              <w:rPr/>
            </w:pPr>
            <w:r>
              <w:rPr/>
              <w:t>Consumo de matéria orgânica</w:t>
            </w:r>
          </w:p>
        </w:tc>
        <w:tc>
          <w:tcPr>
            <w:tcW w:w="855" w:type="dxa"/>
            <w:tcBorders/>
            <w:shd w:color="auto" w:fill="auto" w:val="clear"/>
          </w:tcPr>
          <w:p>
            <w:pPr>
              <w:pStyle w:val="Normal"/>
              <w:widowControl w:val="false"/>
              <w:jc w:val="center"/>
              <w:rPr/>
            </w:pPr>
            <w:r>
              <w:rPr/>
              <w:t>521</w:t>
            </w:r>
          </w:p>
        </w:tc>
        <w:tc>
          <w:tcPr>
            <w:tcW w:w="1065" w:type="dxa"/>
            <w:tcBorders/>
            <w:shd w:color="auto" w:fill="auto" w:val="clear"/>
          </w:tcPr>
          <w:p>
            <w:pPr>
              <w:pStyle w:val="Normal"/>
              <w:widowControl w:val="false"/>
              <w:jc w:val="center"/>
              <w:rPr/>
            </w:pPr>
            <w:r>
              <w:rPr/>
              <w:t>5,21</w:t>
            </w:r>
          </w:p>
        </w:tc>
        <w:tc>
          <w:tcPr>
            <w:tcW w:w="915" w:type="dxa"/>
            <w:tcBorders/>
            <w:shd w:color="auto" w:fill="auto" w:val="clear"/>
          </w:tcPr>
          <w:p>
            <w:pPr>
              <w:pStyle w:val="Normal"/>
              <w:widowControl w:val="false"/>
              <w:jc w:val="center"/>
              <w:rPr/>
            </w:pPr>
            <w:r>
              <w:rPr/>
              <w:t>16,28</w:t>
            </w:r>
          </w:p>
        </w:tc>
        <w:tc>
          <w:tcPr>
            <w:tcW w:w="1142" w:type="dxa"/>
            <w:tcBorders/>
            <w:shd w:color="auto" w:fill="auto" w:val="clear"/>
          </w:tcPr>
          <w:p>
            <w:pPr>
              <w:pStyle w:val="Normal"/>
              <w:widowControl w:val="false"/>
              <w:jc w:val="center"/>
              <w:rPr/>
            </w:pPr>
            <w:r>
              <w:rPr/>
              <w:t>28,76</w:t>
            </w:r>
          </w:p>
        </w:tc>
        <w:tc>
          <w:tcPr>
            <w:tcW w:w="987" w:type="dxa"/>
            <w:tcBorders/>
            <w:shd w:color="auto" w:fill="auto" w:val="clear"/>
          </w:tcPr>
          <w:p>
            <w:pPr>
              <w:pStyle w:val="Normal"/>
              <w:widowControl w:val="false"/>
              <w:jc w:val="center"/>
              <w:rPr/>
            </w:pPr>
            <w:r>
              <w:rPr/>
              <w:t>3,25</w:t>
            </w:r>
          </w:p>
        </w:tc>
      </w:tr>
      <w:tr>
        <w:trPr/>
        <w:tc>
          <w:tcPr>
            <w:tcW w:w="4140" w:type="dxa"/>
            <w:tcBorders/>
            <w:shd w:color="auto" w:fill="auto" w:val="clear"/>
          </w:tcPr>
          <w:p>
            <w:pPr>
              <w:pStyle w:val="Normal"/>
              <w:widowControl w:val="false"/>
              <w:jc w:val="both"/>
              <w:rPr/>
            </w:pPr>
            <w:r>
              <w:rPr/>
              <w:t>Consumo de carboidratos totais</w:t>
            </w:r>
          </w:p>
        </w:tc>
        <w:tc>
          <w:tcPr>
            <w:tcW w:w="855" w:type="dxa"/>
            <w:tcBorders/>
            <w:shd w:color="auto" w:fill="auto" w:val="clear"/>
          </w:tcPr>
          <w:p>
            <w:pPr>
              <w:pStyle w:val="Normal"/>
              <w:widowControl w:val="false"/>
              <w:jc w:val="center"/>
              <w:rPr/>
            </w:pPr>
            <w:r>
              <w:rPr/>
              <w:t>291</w:t>
            </w:r>
          </w:p>
        </w:tc>
        <w:tc>
          <w:tcPr>
            <w:tcW w:w="1065" w:type="dxa"/>
            <w:tcBorders/>
            <w:shd w:color="auto" w:fill="auto" w:val="clear"/>
          </w:tcPr>
          <w:p>
            <w:pPr>
              <w:pStyle w:val="Normal"/>
              <w:widowControl w:val="false"/>
              <w:jc w:val="center"/>
              <w:rPr/>
            </w:pPr>
            <w:r>
              <w:rPr/>
              <w:t>5,14</w:t>
            </w:r>
          </w:p>
        </w:tc>
        <w:tc>
          <w:tcPr>
            <w:tcW w:w="915" w:type="dxa"/>
            <w:tcBorders/>
            <w:shd w:color="auto" w:fill="auto" w:val="clear"/>
          </w:tcPr>
          <w:p>
            <w:pPr>
              <w:pStyle w:val="Normal"/>
              <w:widowControl w:val="false"/>
              <w:jc w:val="center"/>
              <w:rPr/>
            </w:pPr>
            <w:r>
              <w:rPr/>
              <w:t>12,43</w:t>
            </w:r>
          </w:p>
        </w:tc>
        <w:tc>
          <w:tcPr>
            <w:tcW w:w="1142" w:type="dxa"/>
            <w:tcBorders/>
            <w:shd w:color="auto" w:fill="auto" w:val="clear"/>
          </w:tcPr>
          <w:p>
            <w:pPr>
              <w:pStyle w:val="Normal"/>
              <w:widowControl w:val="false"/>
              <w:jc w:val="center"/>
              <w:rPr/>
            </w:pPr>
            <w:r>
              <w:rPr/>
              <w:t>18,19</w:t>
            </w:r>
          </w:p>
        </w:tc>
        <w:tc>
          <w:tcPr>
            <w:tcW w:w="987" w:type="dxa"/>
            <w:tcBorders/>
            <w:shd w:color="auto" w:fill="auto" w:val="clear"/>
          </w:tcPr>
          <w:p>
            <w:pPr>
              <w:pStyle w:val="Normal"/>
              <w:widowControl w:val="false"/>
              <w:jc w:val="center"/>
              <w:rPr/>
            </w:pPr>
            <w:r>
              <w:rPr/>
              <w:t>2,46</w:t>
            </w:r>
          </w:p>
        </w:tc>
      </w:tr>
      <w:tr>
        <w:trPr/>
        <w:tc>
          <w:tcPr>
            <w:tcW w:w="4140" w:type="dxa"/>
            <w:tcBorders/>
            <w:shd w:color="auto" w:fill="auto" w:val="clear"/>
          </w:tcPr>
          <w:p>
            <w:pPr>
              <w:pStyle w:val="Normal"/>
              <w:widowControl w:val="false"/>
              <w:jc w:val="both"/>
              <w:rPr/>
            </w:pPr>
            <w:r>
              <w:rPr/>
              <w:t>Consumo de carboidratos não fibrosos</w:t>
            </w:r>
          </w:p>
        </w:tc>
        <w:tc>
          <w:tcPr>
            <w:tcW w:w="855" w:type="dxa"/>
            <w:tcBorders/>
            <w:shd w:color="auto" w:fill="auto" w:val="clear"/>
          </w:tcPr>
          <w:p>
            <w:pPr>
              <w:pStyle w:val="Normal"/>
              <w:widowControl w:val="false"/>
              <w:jc w:val="center"/>
              <w:rPr/>
            </w:pPr>
            <w:r>
              <w:rPr/>
              <w:t>398</w:t>
            </w:r>
          </w:p>
        </w:tc>
        <w:tc>
          <w:tcPr>
            <w:tcW w:w="1065" w:type="dxa"/>
            <w:tcBorders/>
            <w:shd w:color="auto" w:fill="auto" w:val="clear"/>
          </w:tcPr>
          <w:p>
            <w:pPr>
              <w:pStyle w:val="Normal"/>
              <w:widowControl w:val="false"/>
              <w:jc w:val="center"/>
              <w:rPr/>
            </w:pPr>
            <w:r>
              <w:rPr/>
              <w:t>1,38</w:t>
            </w:r>
          </w:p>
        </w:tc>
        <w:tc>
          <w:tcPr>
            <w:tcW w:w="915" w:type="dxa"/>
            <w:tcBorders/>
            <w:shd w:color="auto" w:fill="auto" w:val="clear"/>
          </w:tcPr>
          <w:p>
            <w:pPr>
              <w:pStyle w:val="Normal"/>
              <w:widowControl w:val="false"/>
              <w:jc w:val="center"/>
              <w:rPr/>
            </w:pPr>
            <w:r>
              <w:rPr/>
              <w:t>6,53</w:t>
            </w:r>
          </w:p>
        </w:tc>
        <w:tc>
          <w:tcPr>
            <w:tcW w:w="1142" w:type="dxa"/>
            <w:tcBorders/>
            <w:shd w:color="auto" w:fill="auto" w:val="clear"/>
          </w:tcPr>
          <w:p>
            <w:pPr>
              <w:pStyle w:val="Normal"/>
              <w:widowControl w:val="false"/>
              <w:jc w:val="center"/>
              <w:rPr/>
            </w:pPr>
            <w:r>
              <w:rPr/>
              <w:t>11,63</w:t>
            </w:r>
          </w:p>
        </w:tc>
        <w:tc>
          <w:tcPr>
            <w:tcW w:w="987" w:type="dxa"/>
            <w:tcBorders/>
            <w:shd w:color="auto" w:fill="auto" w:val="clear"/>
          </w:tcPr>
          <w:p>
            <w:pPr>
              <w:pStyle w:val="Normal"/>
              <w:widowControl w:val="false"/>
              <w:jc w:val="center"/>
              <w:rPr/>
            </w:pPr>
            <w:r>
              <w:rPr/>
              <w:t>1,96</w:t>
            </w:r>
          </w:p>
        </w:tc>
      </w:tr>
      <w:tr>
        <w:trPr/>
        <w:tc>
          <w:tcPr>
            <w:tcW w:w="4140" w:type="dxa"/>
            <w:tcBorders/>
            <w:shd w:color="auto" w:fill="auto" w:val="clear"/>
          </w:tcPr>
          <w:p>
            <w:pPr>
              <w:pStyle w:val="Normal"/>
              <w:widowControl w:val="false"/>
              <w:jc w:val="both"/>
              <w:rPr/>
            </w:pPr>
            <w:r>
              <w:rPr/>
              <w:t>Consumo de fibra em detergente neutro</w:t>
            </w:r>
          </w:p>
        </w:tc>
        <w:tc>
          <w:tcPr>
            <w:tcW w:w="855" w:type="dxa"/>
            <w:tcBorders/>
            <w:shd w:color="auto" w:fill="auto" w:val="clear"/>
          </w:tcPr>
          <w:p>
            <w:pPr>
              <w:pStyle w:val="Normal"/>
              <w:widowControl w:val="false"/>
              <w:jc w:val="center"/>
              <w:rPr/>
            </w:pPr>
            <w:r>
              <w:rPr/>
              <w:t>561</w:t>
            </w:r>
          </w:p>
        </w:tc>
        <w:tc>
          <w:tcPr>
            <w:tcW w:w="1065" w:type="dxa"/>
            <w:tcBorders/>
            <w:shd w:color="auto" w:fill="auto" w:val="clear"/>
          </w:tcPr>
          <w:p>
            <w:pPr>
              <w:pStyle w:val="Normal"/>
              <w:widowControl w:val="false"/>
              <w:jc w:val="center"/>
              <w:rPr/>
            </w:pPr>
            <w:r>
              <w:rPr/>
              <w:t>2,50</w:t>
            </w:r>
          </w:p>
        </w:tc>
        <w:tc>
          <w:tcPr>
            <w:tcW w:w="915" w:type="dxa"/>
            <w:tcBorders/>
            <w:shd w:color="auto" w:fill="auto" w:val="clear"/>
          </w:tcPr>
          <w:p>
            <w:pPr>
              <w:pStyle w:val="Normal"/>
              <w:widowControl w:val="false"/>
              <w:jc w:val="center"/>
              <w:rPr/>
            </w:pPr>
            <w:r>
              <w:rPr/>
              <w:t>6,54</w:t>
            </w:r>
          </w:p>
        </w:tc>
        <w:tc>
          <w:tcPr>
            <w:tcW w:w="1142" w:type="dxa"/>
            <w:tcBorders/>
            <w:shd w:color="auto" w:fill="auto" w:val="clear"/>
          </w:tcPr>
          <w:p>
            <w:pPr>
              <w:pStyle w:val="Normal"/>
              <w:widowControl w:val="false"/>
              <w:jc w:val="center"/>
              <w:rPr/>
            </w:pPr>
            <w:r>
              <w:rPr/>
              <w:t>11,68</w:t>
            </w:r>
          </w:p>
        </w:tc>
        <w:tc>
          <w:tcPr>
            <w:tcW w:w="987" w:type="dxa"/>
            <w:tcBorders/>
            <w:shd w:color="auto" w:fill="auto" w:val="clear"/>
          </w:tcPr>
          <w:p>
            <w:pPr>
              <w:pStyle w:val="Normal"/>
              <w:widowControl w:val="false"/>
              <w:jc w:val="center"/>
              <w:rPr/>
            </w:pPr>
            <w:r>
              <w:rPr/>
              <w:t>1,52</w:t>
            </w:r>
          </w:p>
        </w:tc>
      </w:tr>
      <w:tr>
        <w:trPr/>
        <w:tc>
          <w:tcPr>
            <w:tcW w:w="4140" w:type="dxa"/>
            <w:tcBorders/>
            <w:shd w:color="auto" w:fill="auto" w:val="clear"/>
          </w:tcPr>
          <w:p>
            <w:pPr>
              <w:pStyle w:val="Normal"/>
              <w:widowControl w:val="false"/>
              <w:jc w:val="both"/>
              <w:rPr/>
            </w:pPr>
            <w:r>
              <w:rPr/>
              <w:t>Consumo de fibra em detergente ácido</w:t>
            </w:r>
          </w:p>
        </w:tc>
        <w:tc>
          <w:tcPr>
            <w:tcW w:w="855" w:type="dxa"/>
            <w:tcBorders/>
            <w:shd w:color="auto" w:fill="auto" w:val="clear"/>
          </w:tcPr>
          <w:p>
            <w:pPr>
              <w:pStyle w:val="Normal"/>
              <w:widowControl w:val="false"/>
              <w:jc w:val="center"/>
              <w:rPr/>
            </w:pPr>
            <w:r>
              <w:rPr/>
              <w:t>440</w:t>
            </w:r>
          </w:p>
        </w:tc>
        <w:tc>
          <w:tcPr>
            <w:tcW w:w="1065" w:type="dxa"/>
            <w:tcBorders/>
            <w:shd w:color="auto" w:fill="auto" w:val="clear"/>
          </w:tcPr>
          <w:p>
            <w:pPr>
              <w:pStyle w:val="Normal"/>
              <w:widowControl w:val="false"/>
              <w:jc w:val="center"/>
              <w:rPr/>
            </w:pPr>
            <w:r>
              <w:rPr/>
              <w:t>1,17</w:t>
            </w:r>
          </w:p>
        </w:tc>
        <w:tc>
          <w:tcPr>
            <w:tcW w:w="915" w:type="dxa"/>
            <w:tcBorders/>
            <w:shd w:color="auto" w:fill="auto" w:val="clear"/>
          </w:tcPr>
          <w:p>
            <w:pPr>
              <w:pStyle w:val="Normal"/>
              <w:widowControl w:val="false"/>
              <w:jc w:val="center"/>
              <w:rPr/>
            </w:pPr>
            <w:r>
              <w:rPr/>
              <w:t>3,81</w:t>
            </w:r>
          </w:p>
        </w:tc>
        <w:tc>
          <w:tcPr>
            <w:tcW w:w="1142" w:type="dxa"/>
            <w:tcBorders/>
            <w:shd w:color="auto" w:fill="auto" w:val="clear"/>
          </w:tcPr>
          <w:p>
            <w:pPr>
              <w:pStyle w:val="Normal"/>
              <w:widowControl w:val="false"/>
              <w:jc w:val="center"/>
              <w:rPr/>
            </w:pPr>
            <w:r>
              <w:rPr/>
              <w:t>10,56</w:t>
            </w:r>
          </w:p>
        </w:tc>
        <w:tc>
          <w:tcPr>
            <w:tcW w:w="987" w:type="dxa"/>
            <w:tcBorders/>
            <w:shd w:color="auto" w:fill="auto" w:val="clear"/>
          </w:tcPr>
          <w:p>
            <w:pPr>
              <w:pStyle w:val="Normal"/>
              <w:widowControl w:val="false"/>
              <w:jc w:val="center"/>
              <w:rPr/>
            </w:pPr>
            <w:r>
              <w:rPr/>
              <w:t>1,03</w:t>
            </w:r>
          </w:p>
        </w:tc>
      </w:tr>
      <w:tr>
        <w:trPr/>
        <w:tc>
          <w:tcPr>
            <w:tcW w:w="4140" w:type="dxa"/>
            <w:tcBorders/>
            <w:shd w:color="auto" w:fill="auto" w:val="clear"/>
          </w:tcPr>
          <w:p>
            <w:pPr>
              <w:pStyle w:val="Normal"/>
              <w:widowControl w:val="false"/>
              <w:jc w:val="both"/>
              <w:rPr/>
            </w:pPr>
            <w:r>
              <w:rPr/>
              <w:t>Consumo de proteína bruta</w:t>
            </w:r>
          </w:p>
        </w:tc>
        <w:tc>
          <w:tcPr>
            <w:tcW w:w="855" w:type="dxa"/>
            <w:tcBorders/>
            <w:shd w:color="auto" w:fill="auto" w:val="clear"/>
          </w:tcPr>
          <w:p>
            <w:pPr>
              <w:pStyle w:val="Normal"/>
              <w:widowControl w:val="false"/>
              <w:jc w:val="center"/>
              <w:rPr/>
            </w:pPr>
            <w:r>
              <w:rPr/>
              <w:t>613</w:t>
            </w:r>
          </w:p>
        </w:tc>
        <w:tc>
          <w:tcPr>
            <w:tcW w:w="1065" w:type="dxa"/>
            <w:tcBorders/>
            <w:shd w:color="auto" w:fill="auto" w:val="clear"/>
          </w:tcPr>
          <w:p>
            <w:pPr>
              <w:pStyle w:val="Normal"/>
              <w:widowControl w:val="false"/>
              <w:jc w:val="center"/>
              <w:rPr/>
            </w:pPr>
            <w:r>
              <w:rPr/>
              <w:t>0,63</w:t>
            </w:r>
          </w:p>
        </w:tc>
        <w:tc>
          <w:tcPr>
            <w:tcW w:w="915" w:type="dxa"/>
            <w:tcBorders/>
            <w:shd w:color="auto" w:fill="auto" w:val="clear"/>
          </w:tcPr>
          <w:p>
            <w:pPr>
              <w:pStyle w:val="Normal"/>
              <w:widowControl w:val="false"/>
              <w:jc w:val="center"/>
              <w:rPr/>
            </w:pPr>
            <w:r>
              <w:rPr/>
              <w:t>2,68</w:t>
            </w:r>
          </w:p>
        </w:tc>
        <w:tc>
          <w:tcPr>
            <w:tcW w:w="1142" w:type="dxa"/>
            <w:tcBorders/>
            <w:shd w:color="auto" w:fill="auto" w:val="clear"/>
          </w:tcPr>
          <w:p>
            <w:pPr>
              <w:pStyle w:val="Normal"/>
              <w:widowControl w:val="false"/>
              <w:jc w:val="center"/>
              <w:rPr/>
            </w:pPr>
            <w:r>
              <w:rPr/>
              <w:t>4,50</w:t>
            </w:r>
          </w:p>
        </w:tc>
        <w:tc>
          <w:tcPr>
            <w:tcW w:w="987" w:type="dxa"/>
            <w:tcBorders/>
            <w:shd w:color="auto" w:fill="auto" w:val="clear"/>
          </w:tcPr>
          <w:p>
            <w:pPr>
              <w:pStyle w:val="Normal"/>
              <w:widowControl w:val="false"/>
              <w:jc w:val="center"/>
              <w:rPr/>
            </w:pPr>
            <w:r>
              <w:rPr/>
              <w:t>0,78</w:t>
            </w:r>
          </w:p>
        </w:tc>
      </w:tr>
      <w:tr>
        <w:trPr/>
        <w:tc>
          <w:tcPr>
            <w:tcW w:w="4140" w:type="dxa"/>
            <w:tcBorders/>
            <w:shd w:color="auto" w:fill="auto" w:val="clear"/>
          </w:tcPr>
          <w:p>
            <w:pPr>
              <w:pStyle w:val="Normal"/>
              <w:widowControl w:val="false"/>
              <w:jc w:val="both"/>
              <w:rPr/>
            </w:pPr>
            <w:r>
              <w:rPr/>
              <w:t>Consumo de extrato etéreo</w:t>
            </w:r>
          </w:p>
        </w:tc>
        <w:tc>
          <w:tcPr>
            <w:tcW w:w="855" w:type="dxa"/>
            <w:tcBorders/>
            <w:shd w:color="auto" w:fill="auto" w:val="clear"/>
          </w:tcPr>
          <w:p>
            <w:pPr>
              <w:pStyle w:val="Normal"/>
              <w:widowControl w:val="false"/>
              <w:jc w:val="center"/>
              <w:rPr/>
            </w:pPr>
            <w:r>
              <w:rPr/>
              <w:t>534</w:t>
            </w:r>
          </w:p>
        </w:tc>
        <w:tc>
          <w:tcPr>
            <w:tcW w:w="1065" w:type="dxa"/>
            <w:tcBorders/>
            <w:shd w:color="auto" w:fill="auto" w:val="clear"/>
          </w:tcPr>
          <w:p>
            <w:pPr>
              <w:pStyle w:val="Normal"/>
              <w:widowControl w:val="false"/>
              <w:jc w:val="center"/>
              <w:rPr/>
            </w:pPr>
            <w:r>
              <w:rPr/>
              <w:t>0,049</w:t>
            </w:r>
          </w:p>
        </w:tc>
        <w:tc>
          <w:tcPr>
            <w:tcW w:w="915" w:type="dxa"/>
            <w:tcBorders/>
            <w:shd w:color="auto" w:fill="auto" w:val="clear"/>
          </w:tcPr>
          <w:p>
            <w:pPr>
              <w:pStyle w:val="Normal"/>
              <w:widowControl w:val="false"/>
              <w:jc w:val="center"/>
              <w:rPr/>
            </w:pPr>
            <w:r>
              <w:rPr/>
              <w:t>0,58</w:t>
            </w:r>
          </w:p>
        </w:tc>
        <w:tc>
          <w:tcPr>
            <w:tcW w:w="1142" w:type="dxa"/>
            <w:tcBorders/>
            <w:shd w:color="auto" w:fill="auto" w:val="clear"/>
          </w:tcPr>
          <w:p>
            <w:pPr>
              <w:pStyle w:val="Normal"/>
              <w:widowControl w:val="false"/>
              <w:jc w:val="center"/>
              <w:rPr/>
            </w:pPr>
            <w:r>
              <w:rPr/>
              <w:t>1,87</w:t>
            </w:r>
          </w:p>
        </w:tc>
        <w:tc>
          <w:tcPr>
            <w:tcW w:w="987" w:type="dxa"/>
            <w:tcBorders/>
            <w:shd w:color="auto" w:fill="auto" w:val="clear"/>
          </w:tcPr>
          <w:p>
            <w:pPr>
              <w:pStyle w:val="Normal"/>
              <w:widowControl w:val="false"/>
              <w:jc w:val="center"/>
              <w:rPr/>
            </w:pPr>
            <w:r>
              <w:rPr/>
              <w:t>0,31</w:t>
            </w:r>
          </w:p>
        </w:tc>
      </w:tr>
      <w:tr>
        <w:trPr/>
        <w:tc>
          <w:tcPr>
            <w:tcW w:w="4140" w:type="dxa"/>
            <w:tcBorders/>
            <w:shd w:color="auto" w:fill="auto" w:val="clear"/>
          </w:tcPr>
          <w:p>
            <w:pPr>
              <w:pStyle w:val="Normal"/>
              <w:widowControl w:val="false"/>
              <w:jc w:val="both"/>
              <w:rPr/>
            </w:pPr>
            <w:r>
              <w:rPr/>
              <w:t>Consumo de nutrientes digestíveis totais</w:t>
            </w:r>
          </w:p>
        </w:tc>
        <w:tc>
          <w:tcPr>
            <w:tcW w:w="855" w:type="dxa"/>
            <w:tcBorders/>
            <w:shd w:color="auto" w:fill="auto" w:val="clear"/>
          </w:tcPr>
          <w:p>
            <w:pPr>
              <w:pStyle w:val="Normal"/>
              <w:widowControl w:val="false"/>
              <w:jc w:val="center"/>
              <w:rPr/>
            </w:pPr>
            <w:r>
              <w:rPr/>
              <w:t>397</w:t>
            </w:r>
          </w:p>
        </w:tc>
        <w:tc>
          <w:tcPr>
            <w:tcW w:w="1065" w:type="dxa"/>
            <w:tcBorders/>
            <w:shd w:color="auto" w:fill="auto" w:val="clear"/>
          </w:tcPr>
          <w:p>
            <w:pPr>
              <w:pStyle w:val="Normal"/>
              <w:widowControl w:val="false"/>
              <w:jc w:val="center"/>
              <w:rPr/>
            </w:pPr>
            <w:r>
              <w:rPr/>
              <w:t>3,94</w:t>
            </w:r>
          </w:p>
        </w:tc>
        <w:tc>
          <w:tcPr>
            <w:tcW w:w="915" w:type="dxa"/>
            <w:tcBorders/>
            <w:shd w:color="auto" w:fill="auto" w:val="clear"/>
          </w:tcPr>
          <w:p>
            <w:pPr>
              <w:pStyle w:val="Normal"/>
              <w:widowControl w:val="false"/>
              <w:jc w:val="center"/>
              <w:rPr/>
            </w:pPr>
            <w:r>
              <w:rPr/>
              <w:t>11,72</w:t>
            </w:r>
          </w:p>
        </w:tc>
        <w:tc>
          <w:tcPr>
            <w:tcW w:w="1142" w:type="dxa"/>
            <w:tcBorders/>
            <w:shd w:color="auto" w:fill="auto" w:val="clear"/>
          </w:tcPr>
          <w:p>
            <w:pPr>
              <w:pStyle w:val="Normal"/>
              <w:widowControl w:val="false"/>
              <w:jc w:val="center"/>
              <w:rPr/>
            </w:pPr>
            <w:r>
              <w:rPr/>
              <w:t>18,66</w:t>
            </w:r>
          </w:p>
        </w:tc>
        <w:tc>
          <w:tcPr>
            <w:tcW w:w="987" w:type="dxa"/>
            <w:tcBorders/>
            <w:shd w:color="auto" w:fill="auto" w:val="clear"/>
          </w:tcPr>
          <w:p>
            <w:pPr>
              <w:pStyle w:val="Normal"/>
              <w:widowControl w:val="false"/>
              <w:jc w:val="center"/>
              <w:rPr/>
            </w:pPr>
            <w:r>
              <w:rPr/>
              <w:t>2,82</w:t>
            </w:r>
          </w:p>
        </w:tc>
      </w:tr>
      <w:tr>
        <w:trPr/>
        <w:tc>
          <w:tcPr>
            <w:tcW w:w="4140" w:type="dxa"/>
            <w:tcBorders>
              <w:bottom w:val="single" w:sz="4" w:space="0" w:color="000000"/>
            </w:tcBorders>
            <w:shd w:color="auto" w:fill="auto" w:val="clear"/>
          </w:tcPr>
          <w:p>
            <w:pPr>
              <w:pStyle w:val="Normal"/>
              <w:widowControl w:val="false"/>
              <w:jc w:val="both"/>
              <w:rPr/>
            </w:pPr>
            <w:r>
              <w:rPr/>
              <w:t>Consumo de energia líquida de lactação</w:t>
            </w:r>
            <w:r>
              <w:rPr>
                <w:vertAlign w:val="superscript"/>
              </w:rPr>
              <w:t>1</w:t>
            </w:r>
          </w:p>
        </w:tc>
        <w:tc>
          <w:tcPr>
            <w:tcW w:w="855" w:type="dxa"/>
            <w:tcBorders>
              <w:bottom w:val="single" w:sz="4" w:space="0" w:color="000000"/>
            </w:tcBorders>
            <w:shd w:color="auto" w:fill="auto" w:val="clear"/>
          </w:tcPr>
          <w:p>
            <w:pPr>
              <w:pStyle w:val="Normal"/>
              <w:widowControl w:val="false"/>
              <w:jc w:val="center"/>
              <w:rPr/>
            </w:pPr>
            <w:r>
              <w:rPr/>
              <w:t>355</w:t>
            </w:r>
          </w:p>
        </w:tc>
        <w:tc>
          <w:tcPr>
            <w:tcW w:w="1065" w:type="dxa"/>
            <w:tcBorders>
              <w:bottom w:val="single" w:sz="4" w:space="0" w:color="000000"/>
            </w:tcBorders>
            <w:shd w:color="auto" w:fill="auto" w:val="clear"/>
          </w:tcPr>
          <w:p>
            <w:pPr>
              <w:pStyle w:val="Normal"/>
              <w:widowControl w:val="false"/>
              <w:jc w:val="center"/>
              <w:rPr/>
            </w:pPr>
            <w:r>
              <w:rPr/>
              <w:t>7,05</w:t>
            </w:r>
          </w:p>
        </w:tc>
        <w:tc>
          <w:tcPr>
            <w:tcW w:w="915" w:type="dxa"/>
            <w:tcBorders>
              <w:bottom w:val="single" w:sz="4" w:space="0" w:color="000000"/>
            </w:tcBorders>
            <w:shd w:color="auto" w:fill="auto" w:val="clear"/>
          </w:tcPr>
          <w:p>
            <w:pPr>
              <w:pStyle w:val="Normal"/>
              <w:widowControl w:val="false"/>
              <w:jc w:val="center"/>
              <w:rPr/>
            </w:pPr>
            <w:r>
              <w:rPr/>
              <w:t>27,10</w:t>
            </w:r>
          </w:p>
        </w:tc>
        <w:tc>
          <w:tcPr>
            <w:tcW w:w="1142" w:type="dxa"/>
            <w:tcBorders>
              <w:bottom w:val="single" w:sz="4" w:space="0" w:color="000000"/>
            </w:tcBorders>
            <w:shd w:color="auto" w:fill="auto" w:val="clear"/>
          </w:tcPr>
          <w:p>
            <w:pPr>
              <w:pStyle w:val="Normal"/>
              <w:widowControl w:val="false"/>
              <w:jc w:val="center"/>
              <w:rPr/>
            </w:pPr>
            <w:r>
              <w:rPr/>
              <w:t>42,76</w:t>
            </w:r>
          </w:p>
        </w:tc>
        <w:tc>
          <w:tcPr>
            <w:tcW w:w="987" w:type="dxa"/>
            <w:tcBorders>
              <w:bottom w:val="single" w:sz="4" w:space="0" w:color="000000"/>
            </w:tcBorders>
            <w:shd w:color="auto" w:fill="auto" w:val="clear"/>
          </w:tcPr>
          <w:p>
            <w:pPr>
              <w:pStyle w:val="Normal"/>
              <w:widowControl w:val="false"/>
              <w:jc w:val="center"/>
              <w:rPr/>
            </w:pPr>
            <w:r>
              <w:rPr/>
              <w:t>6,74</w:t>
            </w:r>
          </w:p>
        </w:tc>
      </w:tr>
    </w:tbl>
    <w:p>
      <w:pPr>
        <w:pStyle w:val="Normal"/>
        <w:jc w:val="both"/>
        <w:rPr/>
      </w:pPr>
      <w:r>
        <w:rPr/>
        <w:tab/>
      </w:r>
    </w:p>
    <w:p>
      <w:pPr>
        <w:pStyle w:val="Normal"/>
        <w:ind w:firstLine="720"/>
        <w:jc w:val="both"/>
        <w:rPr>
          <w:rFonts w:ascii="Arial" w:hAnsi="Arial" w:cs="Arial"/>
          <w:sz w:val="22"/>
          <w:szCs w:val="22"/>
        </w:rPr>
      </w:pPr>
      <w:r>
        <w:rPr>
          <w:rFonts w:cs="Arial" w:ascii="Arial" w:hAnsi="Arial"/>
          <w:sz w:val="22"/>
          <w:szCs w:val="22"/>
        </w:rPr>
        <w:t>Nas dietas das vacas em condições experimentais no Brasil, foi observado um valor de médio de 8,82% de extrato etéreo na matéria seca, sendo que o ideal de acordo com o NRC (1989) não deve ultrapassar os 7%. Portanto podemos considerar que o aumento do teor de extrato etéreo nas dietas das vacas em lactação pode impactar negativamente sobre a digestibilidade da fibra e, consequentemente, sobre o consumo voluntário dos animais. Diferente da composição de extrato etéreo nas dietas, a % de proteína bruta (PB) na matéria seca apresentou oscilações abaixo do preconizado (7,32%) ou seja, estes teores repercutem no consumo de PB e tanto a falta como o excesso ocasionam diminuição no consumo voluntário</w:t>
      </w:r>
      <w:r>
        <w:rPr>
          <w:rFonts w:cs="Arial" w:ascii="Arial" w:hAnsi="Arial"/>
          <w:color w:val="FF0000"/>
          <w:sz w:val="22"/>
          <w:szCs w:val="22"/>
        </w:rPr>
        <w:t xml:space="preserve"> </w:t>
      </w:r>
      <w:r>
        <w:rPr>
          <w:rFonts w:cs="Arial" w:ascii="Arial" w:hAnsi="Arial"/>
          <w:sz w:val="22"/>
          <w:szCs w:val="22"/>
        </w:rPr>
        <w:t>(Forbes, 2007). O excesso de PB pode proporcionar uma maior produção de amônia ruminal,</w:t>
      </w:r>
      <w:r>
        <w:drawing>
          <wp:anchor behindDoc="1" distT="0" distB="0" distL="0" distR="0" simplePos="0" locked="0" layoutInCell="0" allowOverlap="1" relativeHeight="4">
            <wp:simplePos x="0" y="0"/>
            <wp:positionH relativeFrom="page">
              <wp:align>left</wp:align>
            </wp:positionH>
            <wp:positionV relativeFrom="page">
              <wp:align>top</wp:align>
            </wp:positionV>
            <wp:extent cx="7556500" cy="1115060"/>
            <wp:effectExtent l="0" t="0" r="0" b="0"/>
            <wp:wrapNone/>
            <wp:docPr id="3" name="Imagem 494541523"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94541523" descr="Cabeçalho SBSS-02.jpg"/>
                    <pic:cNvPicPr>
                      <a:picLocks noChangeAspect="1" noChangeArrowheads="1"/>
                    </pic:cNvPicPr>
                  </pic:nvPicPr>
                  <pic:blipFill>
                    <a:blip r:embed="rId4"/>
                    <a:stretch>
                      <a:fillRect/>
                    </a:stretch>
                  </pic:blipFill>
                  <pic:spPr bwMode="auto">
                    <a:xfrm>
                      <a:off x="0" y="0"/>
                      <a:ext cx="7556500" cy="1115060"/>
                    </a:xfrm>
                    <a:prstGeom prst="rect">
                      <a:avLst/>
                    </a:prstGeom>
                  </pic:spPr>
                </pic:pic>
              </a:graphicData>
            </a:graphic>
          </wp:anchor>
        </w:drawing>
        <w:drawing>
          <wp:anchor behindDoc="1" distT="0" distB="0" distL="0" distR="0" simplePos="0" locked="0" layoutInCell="0" allowOverlap="1" relativeHeight="5">
            <wp:simplePos x="0" y="0"/>
            <wp:positionH relativeFrom="page">
              <wp:align>right</wp:align>
            </wp:positionH>
            <wp:positionV relativeFrom="page">
              <wp:align>top</wp:align>
            </wp:positionV>
            <wp:extent cx="7556500" cy="1115060"/>
            <wp:effectExtent l="0" t="0" r="0" b="0"/>
            <wp:wrapNone/>
            <wp:docPr id="4" name="Imagem 1741866490"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741866490" descr="Cabeçalho SBSS-02.jpg"/>
                    <pic:cNvPicPr>
                      <a:picLocks noChangeAspect="1" noChangeArrowheads="1"/>
                    </pic:cNvPicPr>
                  </pic:nvPicPr>
                  <pic:blipFill>
                    <a:blip r:embed="rId5"/>
                    <a:stretch>
                      <a:fillRect/>
                    </a:stretch>
                  </pic:blipFill>
                  <pic:spPr bwMode="auto">
                    <a:xfrm>
                      <a:off x="0" y="0"/>
                      <a:ext cx="7556500" cy="1115060"/>
                    </a:xfrm>
                    <a:prstGeom prst="rect">
                      <a:avLst/>
                    </a:prstGeom>
                  </pic:spPr>
                </pic:pic>
              </a:graphicData>
            </a:graphic>
          </wp:anchor>
        </w:drawing>
      </w:r>
      <w:r>
        <w:rPr>
          <w:rFonts w:cs="Arial" w:ascii="Arial" w:hAnsi="Arial"/>
          <w:sz w:val="22"/>
          <w:szCs w:val="22"/>
        </w:rPr>
        <w:t xml:space="preserve"> causando toxidez aos microrganismos e em consequência uma excreção maio de uréia aumentando o gasto energético do animal (Fox et al, 2004; Russell et. al 1992).</w:t>
      </w:r>
    </w:p>
    <w:p>
      <w:pPr>
        <w:pStyle w:val="Normal"/>
        <w:ind w:firstLine="720"/>
        <w:jc w:val="both"/>
        <w:rPr>
          <w:rFonts w:ascii="Arial" w:hAnsi="Arial" w:cs="Arial"/>
          <w:color w:val="FF0000"/>
          <w:sz w:val="22"/>
          <w:szCs w:val="22"/>
        </w:rPr>
      </w:pPr>
      <w:r>
        <w:rPr>
          <w:rFonts w:cs="Arial" w:ascii="Arial" w:hAnsi="Arial"/>
          <w:color w:val="FF0000"/>
          <w:sz w:val="22"/>
          <w:szCs w:val="22"/>
        </w:rPr>
        <w:t xml:space="preserve"> </w:t>
      </w:r>
    </w:p>
    <w:p>
      <w:pPr>
        <w:pStyle w:val="Normal"/>
        <w:jc w:val="both"/>
        <w:rPr>
          <w:rFonts w:ascii="Arial" w:hAnsi="Arial" w:cs="Arial"/>
          <w:sz w:val="22"/>
          <w:szCs w:val="22"/>
        </w:rPr>
      </w:pPr>
      <w:r>
        <w:drawing>
          <wp:anchor behindDoc="1" distT="0" distB="0" distL="0" distR="0" simplePos="0" locked="0" layoutInCell="0" allowOverlap="1" relativeHeight="6">
            <wp:simplePos x="0" y="0"/>
            <wp:positionH relativeFrom="page">
              <wp:posOffset>-29210</wp:posOffset>
            </wp:positionH>
            <wp:positionV relativeFrom="page">
              <wp:align>top</wp:align>
            </wp:positionV>
            <wp:extent cx="7556500" cy="1115060"/>
            <wp:effectExtent l="0" t="0" r="0" b="0"/>
            <wp:wrapNone/>
            <wp:docPr id="5" name="Imagem 1185803604"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185803604" descr="Cabeçalho SBSS-02.jpg"/>
                    <pic:cNvPicPr>
                      <a:picLocks noChangeAspect="1" noChangeArrowheads="1"/>
                    </pic:cNvPicPr>
                  </pic:nvPicPr>
                  <pic:blipFill>
                    <a:blip r:embed="rId6"/>
                    <a:stretch>
                      <a:fillRect/>
                    </a:stretch>
                  </pic:blipFill>
                  <pic:spPr bwMode="auto">
                    <a:xfrm>
                      <a:off x="0" y="0"/>
                      <a:ext cx="7556500" cy="1115060"/>
                    </a:xfrm>
                    <a:prstGeom prst="rect">
                      <a:avLst/>
                    </a:prstGeom>
                  </pic:spPr>
                </pic:pic>
              </a:graphicData>
            </a:graphic>
          </wp:anchor>
        </w:drawing>
      </w:r>
      <w:r>
        <w:rPr>
          <w:rFonts w:cs="Arial" w:ascii="Arial" w:hAnsi="Arial"/>
          <w:sz w:val="22"/>
          <w:szCs w:val="22"/>
        </w:rPr>
        <w:t xml:space="preserve">Valores de PB baixos estão relacionados com a falta de nutrientes para garantir desenvolvimento das bactérias e funcionamento ruminal. Observamos que a média de consumo de nutrientes digestíveis totais (NDT) foi de 11,72 kg/dia (Tabela 1) o que corresponde a 2,13% do consumo por peso vivo. O NRC (2001) apresenta valores recomendados de 11,76 a 11,82 kg/dia para atender as exigências nutricionais, portanto mesmo que pouco abaixo do recomendado as condições das dietas ofertadas podem acabar comprometendo as exigências energéticas das vacas em lactação. Os valores de consumo de NDT refletem na energia digestível, energia metabolizável e energia líquida de lactação. Vacas leiteiras produzindo com </w:t>
      </w:r>
      <w:r>
        <w:rPr>
          <w:rFonts w:eastAsia="Times New Roman" w:cs="Arial" w:ascii="Arial" w:hAnsi="Arial"/>
          <w:color w:val="auto"/>
          <w:kern w:val="0"/>
          <w:sz w:val="22"/>
          <w:szCs w:val="22"/>
          <w:lang w:val="pt-BR" w:eastAsia="pt-BR" w:bidi="ar-SA"/>
        </w:rPr>
        <w:t>deficit</w:t>
      </w:r>
      <w:r>
        <w:rPr>
          <w:rFonts w:cs="Arial" w:ascii="Arial" w:hAnsi="Arial"/>
          <w:sz w:val="22"/>
          <w:szCs w:val="22"/>
        </w:rPr>
        <w:t xml:space="preserve"> energético necessitam mobilizar reservas corporais para manter sua produção de leite, ocasionando um balanço energético negativo, até atingir seus limites e passar a reduzir produção e apresentar transtornos metabólicos (Dórea; French; Armentano, 2017). Para todas as variáveis estudadas observa-se grande variação entre os valores </w:t>
      </w:r>
      <w:r>
        <w:rPr>
          <w:rFonts w:eastAsia="Times New Roman" w:cs="Arial" w:ascii="Arial" w:hAnsi="Arial"/>
          <w:color w:val="auto"/>
          <w:kern w:val="0"/>
          <w:sz w:val="22"/>
          <w:szCs w:val="22"/>
          <w:lang w:val="pt-BR" w:eastAsia="pt-BR" w:bidi="ar-SA"/>
        </w:rPr>
        <w:t>mínimo</w:t>
      </w:r>
      <w:r>
        <w:rPr>
          <w:rFonts w:cs="Arial" w:ascii="Arial" w:hAnsi="Arial"/>
          <w:sz w:val="22"/>
          <w:szCs w:val="22"/>
        </w:rPr>
        <w:t xml:space="preserve">, </w:t>
      </w:r>
      <w:r>
        <w:rPr>
          <w:rFonts w:eastAsia="Times New Roman" w:cs="Arial" w:ascii="Arial" w:hAnsi="Arial"/>
          <w:color w:val="auto"/>
          <w:kern w:val="0"/>
          <w:sz w:val="22"/>
          <w:szCs w:val="22"/>
          <w:lang w:val="pt-BR" w:eastAsia="pt-BR" w:bidi="ar-SA"/>
        </w:rPr>
        <w:t>médio</w:t>
      </w:r>
      <w:r>
        <w:rPr>
          <w:rFonts w:cs="Arial" w:ascii="Arial" w:hAnsi="Arial"/>
          <w:sz w:val="22"/>
          <w:szCs w:val="22"/>
        </w:rPr>
        <w:t xml:space="preserve"> e </w:t>
      </w:r>
      <w:r>
        <w:rPr>
          <w:rFonts w:eastAsia="Times New Roman" w:cs="Arial" w:ascii="Arial" w:hAnsi="Arial"/>
          <w:color w:val="auto"/>
          <w:kern w:val="0"/>
          <w:sz w:val="22"/>
          <w:szCs w:val="22"/>
          <w:lang w:val="pt-BR" w:eastAsia="pt-BR" w:bidi="ar-SA"/>
        </w:rPr>
        <w:t>máximo</w:t>
      </w:r>
      <w:r>
        <w:rPr>
          <w:rFonts w:cs="Arial" w:ascii="Arial" w:hAnsi="Arial"/>
          <w:sz w:val="22"/>
          <w:szCs w:val="22"/>
        </w:rPr>
        <w:t xml:space="preserve"> sugerindo grande variação nas dietas ofertadas para as vacas em lactação em condições experimentais no Brasil</w:t>
      </w:r>
      <w:r>
        <w:rPr>
          <w:rStyle w:val="Strong"/>
          <w:rFonts w:cs="Arial" w:ascii="Arial" w:hAnsi="Arial"/>
          <w:b w:val="false"/>
          <w:bCs w:val="false"/>
          <w:color w:val="1F1F1F"/>
          <w:sz w:val="22"/>
          <w:szCs w:val="22"/>
          <w:shd w:fill="FFFFFF" w:val="clear"/>
        </w:rPr>
        <w:t xml:space="preserve">. Essas oscilações podem ser explicadas por variáveis que afetam o consumo, como a qualidade e a quantidade da alimentação fornecidas as </w:t>
      </w:r>
      <w:r>
        <w:rPr>
          <w:rFonts w:cs="Arial" w:ascii="Arial" w:hAnsi="Arial"/>
          <w:sz w:val="22"/>
          <w:szCs w:val="22"/>
        </w:rPr>
        <w:t xml:space="preserve">vacas leiteiras em condições experimentais no Brasil. </w:t>
      </w:r>
    </w:p>
    <w:p>
      <w:pPr>
        <w:pStyle w:val="Normal"/>
        <w:jc w:val="both"/>
        <w:rPr>
          <w:rFonts w:ascii="Cambria" w:hAnsi="Cambria" w:eastAsia="Cambria" w:cs="Cambria"/>
          <w:color w:val="00000A"/>
        </w:rPr>
      </w:pPr>
      <w:r>
        <w:rPr>
          <w:rFonts w:eastAsia="Arial" w:cs="Arial" w:ascii="Arial" w:hAnsi="Arial"/>
          <w:b/>
          <w:color w:val="000000"/>
          <w:sz w:val="22"/>
          <w:szCs w:val="22"/>
        </w:rPr>
        <w:t xml:space="preserve">      </w:t>
      </w:r>
      <w:r>
        <w:rPr>
          <w:rFonts w:eastAsia="Arial" w:cs="Arial" w:ascii="Arial" w:hAnsi="Arial"/>
          <w:color w:val="000000"/>
          <w:sz w:val="22"/>
          <w:szCs w:val="22"/>
        </w:rPr>
        <w:t xml:space="preserve">                   </w:t>
      </w:r>
    </w:p>
    <w:p>
      <w:pPr>
        <w:pStyle w:val="Normal"/>
        <w:jc w:val="both"/>
        <w:rPr>
          <w:rFonts w:ascii="Arial" w:hAnsi="Arial" w:eastAsia="Arial" w:cs="Arial"/>
          <w:sz w:val="22"/>
          <w:szCs w:val="22"/>
        </w:rPr>
      </w:pPr>
      <w:r>
        <w:rPr>
          <w:rFonts w:eastAsia="Arial" w:cs="Arial" w:ascii="Arial" w:hAnsi="Arial"/>
          <w:b/>
          <w:color w:val="000000"/>
          <w:sz w:val="22"/>
          <w:szCs w:val="22"/>
        </w:rPr>
        <w:t>Conclusão</w:t>
      </w:r>
      <w:r>
        <w:rPr>
          <w:rFonts w:eastAsia="Arial" w:cs="Arial" w:ascii="Arial" w:hAnsi="Arial"/>
          <w:color w:val="000000"/>
          <w:sz w:val="22"/>
          <w:szCs w:val="22"/>
        </w:rPr>
        <w:t xml:space="preserve">: </w:t>
      </w:r>
      <w:r>
        <w:rPr>
          <w:rFonts w:eastAsia="Arial" w:cs="Arial" w:ascii="Arial" w:hAnsi="Arial"/>
          <w:sz w:val="22"/>
          <w:szCs w:val="22"/>
        </w:rPr>
        <w:t xml:space="preserve">Conclui-se que o consumo voluntário das vacas em condições experimentais no Brasil apresenta grande variação sendo afetado pela composição dos alimentos oferecidos. Tanto físicas como bromatológicas e a quantidade dos mesmos, o que afeta o aproveitamento dos nutrientes pelo animal e consequentemente a produção e composição do leite. </w:t>
      </w:r>
    </w:p>
    <w:p>
      <w:pPr>
        <w:pStyle w:val="Normal"/>
        <w:jc w:val="both"/>
        <w:rPr>
          <w:rFonts w:ascii="Arial" w:hAnsi="Arial" w:eastAsia="Arial" w:cs="Arial"/>
          <w:sz w:val="22"/>
          <w:szCs w:val="22"/>
        </w:rPr>
      </w:pPr>
      <w:r>
        <w:rPr>
          <w:rFonts w:eastAsia="Arial" w:cs="Arial" w:ascii="Arial" w:hAnsi="Arial"/>
          <w:sz w:val="22"/>
          <w:szCs w:val="22"/>
        </w:rPr>
        <w:t xml:space="preserve"> </w:t>
      </w:r>
    </w:p>
    <w:p>
      <w:pPr>
        <w:pStyle w:val="Normal"/>
        <w:jc w:val="both"/>
        <w:rPr>
          <w:rFonts w:ascii="Cambria" w:hAnsi="Cambria" w:eastAsia="Cambria" w:cs="Cambria"/>
          <w:color w:val="000000"/>
        </w:rPr>
      </w:pPr>
      <w:r>
        <w:rPr>
          <w:rFonts w:eastAsia="Arial" w:cs="Arial" w:ascii="Arial" w:hAnsi="Arial"/>
          <w:b/>
          <w:color w:val="000000"/>
          <w:sz w:val="22"/>
          <w:szCs w:val="22"/>
        </w:rPr>
        <w:t>Agradecimento: FIPE-UFSM</w:t>
      </w:r>
    </w:p>
    <w:p>
      <w:pPr>
        <w:pStyle w:val="Normal"/>
        <w:jc w:val="both"/>
        <w:rPr>
          <w:rFonts w:ascii="Arial" w:hAnsi="Arial" w:eastAsia="Arial" w:cs="Arial"/>
          <w:b/>
          <w:b/>
          <w:color w:val="000000"/>
          <w:sz w:val="22"/>
          <w:szCs w:val="22"/>
        </w:rPr>
      </w:pPr>
      <w:r>
        <w:rPr>
          <w:rFonts w:eastAsia="Arial" w:cs="Arial" w:ascii="Arial" w:hAnsi="Arial"/>
          <w:b/>
          <w:color w:val="000000"/>
          <w:sz w:val="22"/>
          <w:szCs w:val="22"/>
        </w:rPr>
      </w:r>
    </w:p>
    <w:p>
      <w:pPr>
        <w:pStyle w:val="Normal"/>
        <w:jc w:val="both"/>
        <w:rPr>
          <w:rFonts w:ascii="Arial" w:hAnsi="Arial" w:eastAsia="Arial" w:cs="Arial"/>
          <w:b/>
          <w:b/>
          <w:color w:val="000000"/>
          <w:sz w:val="22"/>
          <w:szCs w:val="22"/>
        </w:rPr>
      </w:pPr>
      <w:r>
        <w:rPr>
          <w:rFonts w:eastAsia="Arial" w:cs="Arial" w:ascii="Arial" w:hAnsi="Arial"/>
          <w:b/>
          <w:color w:val="000000"/>
          <w:sz w:val="22"/>
          <w:szCs w:val="22"/>
        </w:rPr>
        <w:t>Referências:</w:t>
      </w:r>
    </w:p>
    <w:p>
      <w:pPr>
        <w:pStyle w:val="Normal"/>
        <w:jc w:val="both"/>
        <w:rPr>
          <w:rFonts w:ascii="Arial" w:hAnsi="Arial" w:eastAsia="Arial" w:cs="Arial"/>
          <w:b/>
          <w:b/>
          <w:sz w:val="22"/>
          <w:szCs w:val="22"/>
        </w:rPr>
      </w:pPr>
      <w:r>
        <w:rPr>
          <w:rFonts w:eastAsia="Arial" w:cs="Arial" w:ascii="Arial" w:hAnsi="Arial"/>
          <w:b/>
          <w:sz w:val="22"/>
          <w:szCs w:val="22"/>
        </w:rPr>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rPr>
        <w:t xml:space="preserve">ALLEN, M.S., BRADFORD, B.J. 2009. </w:t>
      </w:r>
      <w:r>
        <w:rPr>
          <w:rFonts w:eastAsia="Arial" w:cs="Arial" w:ascii="Arial" w:hAnsi="Arial"/>
          <w:sz w:val="22"/>
          <w:szCs w:val="22"/>
          <w:lang w:val="en-US"/>
        </w:rPr>
        <w:t xml:space="preserve">Strategies to optimize feed intake in lactating cows. WCDS Advances in Dairy Technology 21:161-172 </w:t>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lang w:val="en-US"/>
        </w:rPr>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lang w:val="en-US"/>
        </w:rPr>
        <w:t>DÓREAS, J.R.R.; FRENCH, E. A.; ARMENTANO, L.E. Use of milk fatty acids to estimate plasma nonesterified fatty acid concentrations as an indicator of animal energy balance. Journal of Dairy Science, v. 100, n 8, p. 6164-6176, 201</w:t>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lang w:val="en-US"/>
        </w:rPr>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lang w:val="en-US"/>
        </w:rPr>
        <w:t>FORBES, J.M. Voluntary food intake and diet selection in farm animals. 2. ed. Wallingford, UK: CAB international, 2007.</w:t>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lang w:val="en-US"/>
        </w:rPr>
      </w:r>
    </w:p>
    <w:p>
      <w:pPr>
        <w:pStyle w:val="Normal"/>
        <w:shd w:val="clear" w:color="auto" w:fill="FFFFFF"/>
        <w:jc w:val="both"/>
        <w:rPr>
          <w:rFonts w:ascii="Arial" w:hAnsi="Arial" w:eastAsia="Arial" w:cs="Arial"/>
          <w:sz w:val="22"/>
          <w:szCs w:val="22"/>
          <w:lang w:val="en-US"/>
        </w:rPr>
      </w:pPr>
      <w:r>
        <w:rPr>
          <w:rFonts w:eastAsia="Arial" w:cs="Arial" w:ascii="Arial" w:hAnsi="Arial"/>
          <w:sz w:val="22"/>
          <w:szCs w:val="22"/>
          <w:lang w:val="en-US"/>
        </w:rPr>
        <w:t xml:space="preserve">FOX, D.G. et al. The Cornell Net Carbohydrate and Protein System modelo for evaluating herd nutrition and nutriente excretion. Animal Feed Science and Technology, v. 112, n. 1-4, p. 29-78, fev. 2004. </w:t>
      </w:r>
    </w:p>
    <w:p>
      <w:pPr>
        <w:pStyle w:val="Normal"/>
        <w:shd w:val="clear" w:color="auto" w:fill="FFFFFF"/>
        <w:jc w:val="both"/>
        <w:rPr>
          <w:rFonts w:ascii="Cambria" w:hAnsi="Cambria" w:eastAsia="Cambria" w:cs="Cambria"/>
          <w:color w:val="00000A"/>
          <w:lang w:val="en-US"/>
        </w:rPr>
      </w:pPr>
      <w:r>
        <w:rPr>
          <w:rFonts w:eastAsia="Cambria" w:cs="Cambria" w:ascii="Cambria" w:hAnsi="Cambria"/>
          <w:color w:val="00000A"/>
          <w:lang w:val="en-US"/>
        </w:rPr>
        <w:t xml:space="preserve"> </w:t>
      </w:r>
    </w:p>
    <w:p>
      <w:pPr>
        <w:pStyle w:val="Normal"/>
        <w:shd w:val="clear" w:color="auto" w:fill="FFFFFF"/>
        <w:jc w:val="both"/>
        <w:rPr>
          <w:rFonts w:ascii="Arial" w:hAnsi="Arial" w:eastAsia="Arial" w:cs="Arial"/>
          <w:color w:val="00000A"/>
          <w:sz w:val="22"/>
          <w:szCs w:val="22"/>
          <w:lang w:val="en-US"/>
        </w:rPr>
      </w:pPr>
      <w:r>
        <w:rPr>
          <w:rFonts w:eastAsia="Arial" w:cs="Arial" w:ascii="Arial" w:hAnsi="Arial"/>
          <w:color w:val="00000A"/>
          <w:sz w:val="22"/>
          <w:szCs w:val="22"/>
          <w:lang w:val="en-US"/>
        </w:rPr>
        <w:t xml:space="preserve">MERTENS, D.R. Regulation of forage intake. In: Forage quality, evaluation and utilization. G.C. Fahey, 1. ed. Madison: American Society of Agronomy, 1994. p. 450-493. </w:t>
      </w:r>
    </w:p>
    <w:p>
      <w:pPr>
        <w:pStyle w:val="Normal"/>
        <w:jc w:val="both"/>
        <w:rPr>
          <w:rFonts w:ascii="Arial" w:hAnsi="Arial" w:eastAsia="Arial" w:cs="Arial"/>
          <w:b/>
          <w:b/>
          <w:sz w:val="22"/>
          <w:szCs w:val="22"/>
          <w:lang w:val="en-US"/>
        </w:rPr>
      </w:pPr>
      <w:r>
        <w:rPr>
          <w:rFonts w:eastAsia="Arial" w:cs="Arial" w:ascii="Arial" w:hAnsi="Arial"/>
          <w:b/>
          <w:sz w:val="22"/>
          <w:szCs w:val="22"/>
          <w:lang w:val="en-US"/>
        </w:rPr>
      </w:r>
    </w:p>
    <w:p>
      <w:pPr>
        <w:pStyle w:val="Normal"/>
        <w:jc w:val="both"/>
        <w:rPr>
          <w:rFonts w:ascii="Arial" w:hAnsi="Arial" w:eastAsia="Arial" w:cs="Arial"/>
          <w:sz w:val="22"/>
          <w:szCs w:val="22"/>
          <w:lang w:val="en-US"/>
        </w:rPr>
      </w:pPr>
      <w:r>
        <w:rPr>
          <w:rFonts w:eastAsia="Arial" w:cs="Arial" w:ascii="Arial" w:hAnsi="Arial"/>
          <w:sz w:val="22"/>
          <w:szCs w:val="22"/>
          <w:lang w:val="en-US"/>
        </w:rPr>
        <w:t xml:space="preserve">NRC - NATIONAL RESEARCH COUNCIL. Nutrient requeriments of dairy cattle. 6. ed. Washington D.C.: National Academy Press, 1989.  </w:t>
      </w:r>
    </w:p>
    <w:p>
      <w:pPr>
        <w:pStyle w:val="Normal"/>
        <w:jc w:val="both"/>
        <w:rPr>
          <w:rFonts w:ascii="Arial" w:hAnsi="Arial" w:eastAsia="Arial" w:cs="Arial"/>
          <w:sz w:val="22"/>
          <w:szCs w:val="22"/>
          <w:lang w:val="en-US"/>
        </w:rPr>
      </w:pPr>
      <w:r>
        <w:rPr>
          <w:rFonts w:eastAsia="Arial" w:cs="Arial" w:ascii="Arial" w:hAnsi="Arial"/>
          <w:sz w:val="22"/>
          <w:szCs w:val="22"/>
          <w:lang w:val="en-US"/>
        </w:rPr>
      </w:r>
    </w:p>
    <w:p>
      <w:pPr>
        <w:pStyle w:val="Normal"/>
        <w:jc w:val="both"/>
        <w:rPr>
          <w:rFonts w:ascii="Arial" w:hAnsi="Arial" w:eastAsia="Arial" w:cs="Arial"/>
          <w:color w:val="000000"/>
          <w:sz w:val="22"/>
          <w:szCs w:val="22"/>
          <w:lang w:val="en-US"/>
        </w:rPr>
      </w:pPr>
      <w:r>
        <w:rPr>
          <w:rFonts w:eastAsia="Arial" w:cs="Arial" w:ascii="Arial" w:hAnsi="Arial"/>
          <w:sz w:val="22"/>
          <w:szCs w:val="22"/>
          <w:lang w:val="en-US"/>
        </w:rPr>
        <w:t xml:space="preserve">NRC - NATIONAL RESEARCH COUNCIL. Nutrient requeriments of dairy cattle. 7. ed. Washington D.C.: National Academy Press, 2001.  </w:t>
      </w:r>
    </w:p>
    <w:p>
      <w:pPr>
        <w:pStyle w:val="Normal"/>
        <w:ind w:right="284" w:hanging="0"/>
        <w:jc w:val="both"/>
        <w:rPr>
          <w:rFonts w:ascii="Arial" w:hAnsi="Arial" w:eastAsia="Arial" w:cs="Arial"/>
          <w:sz w:val="22"/>
          <w:szCs w:val="22"/>
          <w:lang w:val="en-US"/>
        </w:rPr>
      </w:pPr>
      <w:r>
        <w:rPr>
          <w:rFonts w:eastAsia="Arial" w:cs="Arial" w:ascii="Arial" w:hAnsi="Arial"/>
          <w:sz w:val="22"/>
          <w:szCs w:val="22"/>
          <w:lang w:val="en-US"/>
        </w:rPr>
      </w:r>
    </w:p>
    <w:p>
      <w:pPr>
        <w:pStyle w:val="Normal"/>
        <w:ind w:right="284" w:hanging="0"/>
        <w:jc w:val="both"/>
        <w:rPr>
          <w:rFonts w:ascii="Arial" w:hAnsi="Arial" w:eastAsia="Arial" w:cs="Arial"/>
          <w:sz w:val="22"/>
          <w:szCs w:val="22"/>
        </w:rPr>
      </w:pPr>
      <w:r>
        <w:rPr>
          <w:rFonts w:eastAsia="Arial" w:cs="Arial" w:ascii="Arial" w:hAnsi="Arial"/>
          <w:sz w:val="22"/>
          <w:szCs w:val="22"/>
          <w:lang w:val="en-US"/>
        </w:rPr>
        <w:t xml:space="preserve">RUSSEL, J. et al. A net carbohydrate and protein system for evaluating cattle diets. </w:t>
      </w:r>
      <w:r>
        <w:rPr>
          <w:rFonts w:eastAsia="Arial" w:cs="Arial" w:ascii="Arial" w:hAnsi="Arial"/>
          <w:sz w:val="22"/>
          <w:szCs w:val="22"/>
        </w:rPr>
        <w:t xml:space="preserve">1: Ruminal fermentations. Journal of Animal Science, v. 70, p. 3551-3561, 1992. </w:t>
      </w:r>
    </w:p>
    <w:sectPr>
      <w:headerReference w:type="default" r:id="rId7"/>
      <w:footerReference w:type="default" r:id="rId8"/>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Cambria">
    <w:charset w:val="00"/>
    <w:family w:val="roman"/>
    <w:pitch w:val="variable"/>
  </w:font>
  <w:font w:name="Arial">
    <w:charset w:val="00"/>
    <w:family w:val="roman"/>
    <w:pitch w:val="variable"/>
  </w:font>
  <w:font w:name="Helvetica Neu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right" w:pos="9020" w:leader="none"/>
      </w:tabs>
      <w:rPr>
        <w:rFonts w:ascii="Helvetica Neue" w:hAnsi="Helvetica Neue" w:eastAsia="Helvetica Neue" w:cs="Helvetica Neue"/>
        <w:color w:val="000000"/>
      </w:rPr>
    </w:pPr>
    <w:r>
      <w:rPr>
        <w:rFonts w:eastAsia="Helvetica Neue" w:cs="Helvetica Neue" w:ascii="Helvetica Neue" w:hAnsi="Helvetica Neue"/>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rFonts w:ascii="Cambria" w:hAnsi="Cambria" w:eastAsia="Cambria" w:cs="Cambria"/>
        <w:color w:val="00000A"/>
      </w:rPr>
    </w:pPr>
    <w:r>
      <w:rPr>
        <w:rFonts w:eastAsia="Cambria" w:cs="Cambria" w:ascii="Cambria" w:hAnsi="Cambria"/>
        <w:color w:val="00000A"/>
      </w:rPr>
    </w:r>
  </w:p>
</w:hdr>
</file>

<file path=word/settings.xml><?xml version="1.0" encoding="utf-8"?>
<w:settings xmlns:w="http://schemas.openxmlformats.org/wordprocessingml/2006/main">
  <w:zoom w:percent="140"/>
  <w:trackRevisions/>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qFormat/>
    <w:pPr>
      <w:keepNext w:val="true"/>
      <w:keepLines/>
      <w:spacing w:before="480" w:after="120"/>
      <w:outlineLvl w:val="0"/>
    </w:pPr>
    <w:rPr>
      <w:b/>
      <w:sz w:val="48"/>
      <w:szCs w:val="48"/>
    </w:rPr>
  </w:style>
  <w:style w:type="paragraph" w:styleId="Ttulo2">
    <w:name w:val="Heading 2"/>
    <w:basedOn w:val="Normal"/>
    <w:next w:val="Normal"/>
    <w:qFormat/>
    <w:pPr>
      <w:keepNext w:val="true"/>
      <w:keepLines/>
      <w:spacing w:before="360" w:after="80"/>
      <w:outlineLvl w:val="1"/>
    </w:pPr>
    <w:rPr>
      <w:b/>
      <w:sz w:val="36"/>
      <w:szCs w:val="36"/>
    </w:rPr>
  </w:style>
  <w:style w:type="paragraph" w:styleId="Ttulo3">
    <w:name w:val="Heading 3"/>
    <w:basedOn w:val="Normal"/>
    <w:next w:val="Normal"/>
    <w:qFormat/>
    <w:pPr>
      <w:keepNext w:val="true"/>
      <w:keepLines/>
      <w:spacing w:before="280" w:after="80"/>
      <w:outlineLvl w:val="2"/>
    </w:pPr>
    <w:rPr>
      <w:b/>
      <w:sz w:val="28"/>
      <w:szCs w:val="28"/>
    </w:rPr>
  </w:style>
  <w:style w:type="paragraph" w:styleId="Ttulo4">
    <w:name w:val="Heading 4"/>
    <w:basedOn w:val="Normal"/>
    <w:next w:val="Normal"/>
    <w:qFormat/>
    <w:pPr>
      <w:keepNext w:val="true"/>
      <w:keepLines/>
      <w:spacing w:before="240" w:after="40"/>
      <w:outlineLvl w:val="3"/>
    </w:pPr>
    <w:rPr>
      <w:b/>
    </w:rPr>
  </w:style>
  <w:style w:type="paragraph" w:styleId="Ttulo5">
    <w:name w:val="Heading 5"/>
    <w:basedOn w:val="Normal"/>
    <w:next w:val="Normal"/>
    <w:qFormat/>
    <w:pPr>
      <w:keepNext w:val="true"/>
      <w:keepLines/>
      <w:spacing w:before="220" w:after="40"/>
      <w:outlineLvl w:val="4"/>
    </w:pPr>
    <w:rPr>
      <w:b/>
      <w:sz w:val="22"/>
      <w:szCs w:val="22"/>
    </w:rPr>
  </w:style>
  <w:style w:type="paragraph" w:styleId="Ttu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d06409"/>
    <w:rPr>
      <w:rFonts w:ascii="Segoe UI" w:hAnsi="Segoe UI" w:cs="Segoe UI"/>
      <w:sz w:val="18"/>
      <w:szCs w:val="18"/>
    </w:rPr>
  </w:style>
  <w:style w:type="character" w:styleId="Annotationreference">
    <w:name w:val="annotation reference"/>
    <w:basedOn w:val="DefaultParagraphFont"/>
    <w:uiPriority w:val="99"/>
    <w:semiHidden/>
    <w:unhideWhenUsed/>
    <w:qFormat/>
    <w:rsid w:val="009f66ef"/>
    <w:rPr>
      <w:sz w:val="16"/>
      <w:szCs w:val="16"/>
    </w:rPr>
  </w:style>
  <w:style w:type="character" w:styleId="TextodecomentrioChar" w:customStyle="1">
    <w:name w:val="Texto de comentário Char"/>
    <w:basedOn w:val="DefaultParagraphFont"/>
    <w:link w:val="Annotationtext"/>
    <w:uiPriority w:val="99"/>
    <w:qFormat/>
    <w:rsid w:val="009f66ef"/>
    <w:rPr>
      <w:sz w:val="20"/>
      <w:szCs w:val="20"/>
    </w:rPr>
  </w:style>
  <w:style w:type="character" w:styleId="AssuntodocomentrioChar" w:customStyle="1">
    <w:name w:val="Assunto do comentário Char"/>
    <w:basedOn w:val="TextodecomentrioChar"/>
    <w:link w:val="Annotationsubject"/>
    <w:uiPriority w:val="99"/>
    <w:semiHidden/>
    <w:qFormat/>
    <w:rsid w:val="009f66ef"/>
    <w:rPr>
      <w:b/>
      <w:bCs/>
      <w:sz w:val="20"/>
      <w:szCs w:val="20"/>
    </w:rPr>
  </w:style>
  <w:style w:type="character" w:styleId="Strong">
    <w:name w:val="Strong"/>
    <w:basedOn w:val="DefaultParagraphFont"/>
    <w:uiPriority w:val="22"/>
    <w:qFormat/>
    <w:rsid w:val="001a4371"/>
    <w:rPr>
      <w:b/>
      <w:bCs/>
    </w:rPr>
  </w:style>
  <w:style w:type="character" w:styleId="CabealhoChar" w:customStyle="1">
    <w:name w:val="Cabeçalho Char"/>
    <w:basedOn w:val="DefaultParagraphFont"/>
    <w:uiPriority w:val="99"/>
    <w:qFormat/>
    <w:rsid w:val="00a80ed3"/>
    <w:rPr/>
  </w:style>
  <w:style w:type="character" w:styleId="RodapChar" w:customStyle="1">
    <w:name w:val="Rodapé Char"/>
    <w:basedOn w:val="DefaultParagraphFont"/>
    <w:uiPriority w:val="99"/>
    <w:qFormat/>
    <w:rsid w:val="00a80ed3"/>
    <w:rPr/>
  </w:style>
  <w:style w:type="character" w:styleId="Numeraodelinhas">
    <w:name w:val="Numeração de linha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Ttulododocumento">
    <w:name w:val="Title"/>
    <w:basedOn w:val="Normal"/>
    <w:next w:val="Normal"/>
    <w:qFormat/>
    <w:pPr>
      <w:keepNext w:val="true"/>
      <w:keepLines/>
      <w:spacing w:before="480" w:after="120"/>
    </w:pPr>
    <w:rPr>
      <w:b/>
      <w:sz w:val="72"/>
      <w:szCs w:val="72"/>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BalloonText">
    <w:name w:val="Balloon Text"/>
    <w:basedOn w:val="Normal"/>
    <w:link w:val="TextodebaloChar"/>
    <w:uiPriority w:val="99"/>
    <w:semiHidden/>
    <w:unhideWhenUsed/>
    <w:qFormat/>
    <w:rsid w:val="00d06409"/>
    <w:pPr/>
    <w:rPr>
      <w:rFonts w:ascii="Segoe UI" w:hAnsi="Segoe UI" w:cs="Segoe UI"/>
      <w:sz w:val="18"/>
      <w:szCs w:val="18"/>
    </w:rPr>
  </w:style>
  <w:style w:type="paragraph" w:styleId="Annotationtext">
    <w:name w:val="annotation text"/>
    <w:basedOn w:val="Normal"/>
    <w:link w:val="TextodecomentrioChar"/>
    <w:uiPriority w:val="99"/>
    <w:unhideWhenUsed/>
    <w:qFormat/>
    <w:rsid w:val="009f66ef"/>
    <w:pPr/>
    <w:rPr>
      <w:sz w:val="20"/>
      <w:szCs w:val="20"/>
    </w:rPr>
  </w:style>
  <w:style w:type="paragraph" w:styleId="Annotationsubject">
    <w:name w:val="annotation subject"/>
    <w:basedOn w:val="Annotationtext"/>
    <w:next w:val="Annotationtext"/>
    <w:link w:val="AssuntodocomentrioChar"/>
    <w:uiPriority w:val="99"/>
    <w:semiHidden/>
    <w:unhideWhenUsed/>
    <w:qFormat/>
    <w:rsid w:val="009f66ef"/>
    <w:pPr/>
    <w:rPr>
      <w:b/>
      <w:bCs/>
    </w:rPr>
  </w:style>
  <w:style w:type="paragraph" w:styleId="Revision">
    <w:name w:val="Revision"/>
    <w:uiPriority w:val="99"/>
    <w:semiHidden/>
    <w:qFormat/>
    <w:rsid w:val="00e8685f"/>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a80ed3"/>
    <w:pPr>
      <w:tabs>
        <w:tab w:val="clear" w:pos="720"/>
        <w:tab w:val="center" w:pos="4252" w:leader="none"/>
        <w:tab w:val="right" w:pos="8504" w:leader="none"/>
      </w:tabs>
    </w:pPr>
    <w:rPr/>
  </w:style>
  <w:style w:type="paragraph" w:styleId="Rodap">
    <w:name w:val="Footer"/>
    <w:basedOn w:val="Normal"/>
    <w:link w:val="RodapChar"/>
    <w:uiPriority w:val="99"/>
    <w:unhideWhenUsed/>
    <w:rsid w:val="00a80ed3"/>
    <w:pPr>
      <w:tabs>
        <w:tab w:val="clear" w:pos="720"/>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Application>LibreOffice/7.3.2.2$Windows_X86_64 LibreOffice_project/49f2b1bff42cfccbd8f788c8dc32c1c309559be0</Application>
  <AppVersion>15.0000</AppVersion>
  <Pages>4</Pages>
  <Words>1607</Words>
  <Characters>8861</Characters>
  <CharactersWithSpaces>10418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2023-10-02T22:19:00Z</dcterms:created>
  <dc:creator>JPV</dc:creator>
  <dc:description/>
  <dc:language>pt-BR</dc:language>
  <cp:lastModifiedBy/>
  <dcterms:modified xsi:type="dcterms:W3CDTF">2023-10-25T17:37:57Z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