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2.png" ContentType="image/pn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1"/>
        <w:keepNext w:val="false"/>
        <w:keepLines w:val="false"/>
        <w:pageBreakBefore w:val="false"/>
        <w:widowControl/>
        <w:shd w:val="clear" w:fill="auto"/>
        <w:spacing w:lineRule="auto" w:line="276" w:before="0" w:after="0"/>
        <w:ind w:left="0" w:right="280" w:hanging="0"/>
        <w:jc w:val="center"/>
        <w:rPr>
          <w:rFonts w:ascii="Cambria" w:hAnsi="Cambria" w:eastAsia="Cambria" w:cs="Cambria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Cambria" w:cs="Cambria" w:ascii="Cambria" w:hAnsi="Cambria"/>
          <w:b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u w:val="none"/>
          <w:shd w:fill="auto" w:val="clear"/>
          <w:vertAlign w:val="baseline"/>
        </w:rPr>
        <w:drawing>
          <wp:anchor behindDoc="0" distT="152400" distB="152400" distL="152400" distR="152400" simplePos="0" locked="0" layoutInCell="0" allowOverlap="1" relativeHeight="3">
            <wp:simplePos x="0" y="0"/>
            <wp:positionH relativeFrom="page">
              <wp:posOffset>3175</wp:posOffset>
            </wp:positionH>
            <wp:positionV relativeFrom="page">
              <wp:posOffset>14605</wp:posOffset>
            </wp:positionV>
            <wp:extent cx="7556500" cy="1115060"/>
            <wp:effectExtent l="0" t="0" r="0" b="0"/>
            <wp:wrapTopAndBottom/>
            <wp:docPr id="1" name="image2.jpg" descr="Cabeçalho SBSS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.jpg" descr="Cabeçalho SBSS-02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heading=h.gjdgxs"/>
      <w:bookmarkStart w:id="1" w:name="_heading=h.gjdgxs"/>
      <w:bookmarkEnd w:id="1"/>
    </w:p>
    <w:p>
      <w:pPr>
        <w:pStyle w:val="LOnormal1"/>
        <w:keepNext w:val="false"/>
        <w:keepLines w:val="false"/>
        <w:pageBreakBefore w:val="false"/>
        <w:widowControl/>
        <w:shd w:val="clear" w:fill="auto"/>
        <w:spacing w:lineRule="auto" w:line="276" w:before="0" w:after="0"/>
        <w:ind w:left="0" w:right="280" w:hanging="0"/>
        <w:jc w:val="center"/>
        <w:rPr>
          <w:rFonts w:ascii="Arial" w:hAnsi="Arial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highlight w:val="yellow"/>
          <w:u w:val="none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USO DA ESPECTROSCOPIA DE INFRAVERMELHO PRÓXIMO PARA DETERMINAÇÃO DE MINERAIS EM FORRAGENS</w:t>
      </w:r>
    </w:p>
    <w:p>
      <w:pPr>
        <w:pStyle w:val="LO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yellow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yellow"/>
          <w:u w:val="none"/>
          <w:vertAlign w:val="baseline"/>
        </w:rPr>
      </w:r>
    </w:p>
    <w:p>
      <w:pPr>
        <w:pStyle w:val="LOnormal1"/>
        <w:ind w:right="284" w:hanging="0"/>
        <w:jc w:val="center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  <w:u w:val="single"/>
        </w:rPr>
        <w:t>Juliana Luiz Butzge</w:t>
      </w:r>
      <w:r>
        <w:rPr>
          <w:rFonts w:eastAsia="Arial" w:cs="Arial" w:ascii="Arial" w:hAnsi="Arial"/>
          <w:sz w:val="20"/>
          <w:szCs w:val="20"/>
          <w:vertAlign w:val="superscript"/>
        </w:rPr>
        <w:t>1</w:t>
      </w:r>
      <w:r>
        <w:rPr>
          <w:rFonts w:eastAsia="Arial" w:cs="Arial" w:ascii="Arial" w:hAnsi="Arial"/>
          <w:sz w:val="20"/>
          <w:szCs w:val="20"/>
        </w:rPr>
        <w:t>, Ednara Henriqueta</w:t>
      </w:r>
      <w:r>
        <w:rPr>
          <w:rFonts w:eastAsia="Arial" w:cs="Arial" w:ascii="Arial" w:hAnsi="Arial"/>
          <w:sz w:val="20"/>
          <w:szCs w:val="20"/>
          <w:vertAlign w:val="superscript"/>
        </w:rPr>
        <w:t>1</w:t>
      </w:r>
      <w:r>
        <w:rPr>
          <w:rFonts w:eastAsia="Arial" w:cs="Arial" w:ascii="Arial" w:hAnsi="Arial"/>
          <w:sz w:val="20"/>
          <w:szCs w:val="20"/>
        </w:rPr>
        <w:t>, Vanessa Zanon Baldissareli</w:t>
      </w:r>
      <w:r>
        <w:rPr>
          <w:rFonts w:eastAsia="Arial" w:cs="Arial" w:ascii="Arial" w:hAnsi="Arial"/>
          <w:sz w:val="20"/>
          <w:szCs w:val="20"/>
          <w:vertAlign w:val="superscript"/>
        </w:rPr>
        <w:t xml:space="preserve">1  </w:t>
      </w:r>
      <w:r>
        <w:rPr>
          <w:rFonts w:eastAsia="Arial" w:cs="Arial" w:ascii="Arial" w:hAnsi="Arial"/>
          <w:sz w:val="20"/>
          <w:szCs w:val="20"/>
        </w:rPr>
        <w:t>Carlos Otavio Mader Fernandes</w:t>
      </w:r>
      <w:r>
        <w:rPr>
          <w:rFonts w:eastAsia="Arial" w:cs="Arial" w:ascii="Arial" w:hAnsi="Arial"/>
          <w:sz w:val="20"/>
          <w:szCs w:val="20"/>
          <w:vertAlign w:val="superscript"/>
        </w:rPr>
        <w:t xml:space="preserve">2  </w:t>
      </w:r>
      <w:r>
        <w:rPr>
          <w:rFonts w:eastAsia="Arial" w:cs="Arial" w:ascii="Arial" w:hAnsi="Arial"/>
          <w:sz w:val="20"/>
          <w:szCs w:val="20"/>
        </w:rPr>
        <w:t xml:space="preserve"> Cassio Marques de Valois</w:t>
      </w:r>
      <w:r>
        <w:rPr>
          <w:rFonts w:eastAsia="Arial" w:cs="Arial" w:ascii="Arial" w:hAnsi="Arial"/>
          <w:sz w:val="20"/>
          <w:szCs w:val="20"/>
          <w:vertAlign w:val="superscript"/>
        </w:rPr>
        <w:t xml:space="preserve">2 </w:t>
      </w:r>
      <w:r>
        <w:rPr>
          <w:rFonts w:eastAsia="Arial" w:cs="Arial" w:ascii="Arial" w:hAnsi="Arial"/>
          <w:sz w:val="20"/>
          <w:szCs w:val="20"/>
        </w:rPr>
        <w:t>Fabiana Schmidt</w:t>
      </w:r>
      <w:r>
        <w:rPr>
          <w:rFonts w:eastAsia="Arial" w:cs="Arial" w:ascii="Arial" w:hAnsi="Arial"/>
          <w:sz w:val="20"/>
          <w:szCs w:val="20"/>
          <w:vertAlign w:val="superscript"/>
        </w:rPr>
        <w:t>2</w:t>
      </w:r>
      <w:r>
        <w:rPr>
          <w:rFonts w:eastAsia="Arial" w:cs="Arial" w:ascii="Arial" w:hAnsi="Arial"/>
          <w:sz w:val="20"/>
          <w:szCs w:val="20"/>
        </w:rPr>
        <w:t xml:space="preserve"> Daniele Cristina da Silva Kazama</w:t>
      </w:r>
      <w:r>
        <w:rPr>
          <w:rFonts w:eastAsia="Arial" w:cs="Arial" w:ascii="Arial" w:hAnsi="Arial"/>
          <w:sz w:val="20"/>
          <w:szCs w:val="20"/>
          <w:vertAlign w:val="superscript"/>
        </w:rPr>
        <w:t xml:space="preserve"> 1</w:t>
      </w:r>
      <w:r>
        <w:rPr>
          <w:rFonts w:eastAsia="Arial" w:cs="Arial" w:ascii="Arial" w:hAnsi="Arial"/>
          <w:sz w:val="20"/>
          <w:szCs w:val="20"/>
        </w:rPr>
        <w:t xml:space="preserve"> </w:t>
      </w:r>
    </w:p>
    <w:p>
      <w:pPr>
        <w:pStyle w:val="LOnormal1"/>
        <w:ind w:right="284" w:hanging="0"/>
        <w:jc w:val="center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LOnormal1"/>
        <w:ind w:right="284" w:hanging="0"/>
        <w:jc w:val="center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  <w:vertAlign w:val="superscript"/>
        </w:rPr>
        <w:t>1</w:t>
      </w:r>
      <w:r>
        <w:rPr>
          <w:rFonts w:eastAsia="Arial" w:cs="Arial" w:ascii="Arial" w:hAnsi="Arial"/>
          <w:sz w:val="20"/>
          <w:szCs w:val="20"/>
        </w:rPr>
        <w:t xml:space="preserve"> Universidade Federal de Santa Catarina, </w:t>
      </w:r>
      <w:r>
        <w:rPr>
          <w:rFonts w:eastAsia="Arial" w:cs="Arial" w:ascii="Arial" w:hAnsi="Arial"/>
          <w:sz w:val="20"/>
          <w:szCs w:val="20"/>
          <w:vertAlign w:val="superscript"/>
        </w:rPr>
        <w:t>2</w:t>
      </w:r>
      <w:r>
        <w:rPr>
          <w:rFonts w:eastAsia="Arial" w:cs="Arial" w:ascii="Arial" w:hAnsi="Arial"/>
          <w:sz w:val="20"/>
          <w:szCs w:val="20"/>
        </w:rPr>
        <w:t xml:space="preserve"> Empresa de Pesquisa Agropecuária e Extensão Rural de Santa Catarina, E-mail: </w:t>
      </w:r>
      <w:hyperlink r:id="rId3">
        <w:r>
          <w:rPr>
            <w:rFonts w:eastAsia="Arial" w:cs="Arial" w:ascii="Arial" w:hAnsi="Arial"/>
            <w:sz w:val="20"/>
            <w:szCs w:val="20"/>
          </w:rPr>
          <w:t>jbutzge@hotmail.com</w:t>
        </w:r>
      </w:hyperlink>
      <w:r>
        <w:rPr>
          <w:rFonts w:eastAsia="Arial" w:cs="Arial" w:ascii="Arial" w:hAnsi="Arial"/>
          <w:sz w:val="20"/>
          <w:szCs w:val="20"/>
        </w:rPr>
        <w:t xml:space="preserve"> </w:t>
      </w:r>
    </w:p>
    <w:p>
      <w:pPr>
        <w:pStyle w:val="LO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284" w:hanging="0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FCE5CD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Contribuição para a sociedade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: A Espectroscopia de Infravermelho Próximo (NIR) tem demonstrado ser uma técnica de alta eficiência na estimativa da qualidade das pastagens de forma rápida e econômica, e sem a necessidade da utilização de reagentes químicos. O conhecimento e a adequada determinação dos teores de minerais nas forrageiras possibilita o balanceamento de dietas de forma muito mais precisa e econômica. Utilizando-se amostras provenientes de forragens únicas e consorciadas coletadas em diferentes regiões de Santa Catarina durante os anos de 2020 a 2023 foi possível estabelecer curvas de calibração para determinar os teores de P e K com boas estimativas (R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szCs w:val="22"/>
          <w:u w:val="none"/>
          <w:shd w:fill="auto" w:val="clear"/>
          <w:vertAlign w:val="superscript"/>
        </w:rPr>
        <w:t>2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de 90,94% e 90,93%, respectivamente).  A estimativa dos teores de minerais nas pastagens, de forma rápida, precisa e econômica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highlight w:val="white"/>
          <w:u w:val="none"/>
          <w:vertAlign w:val="baseline"/>
        </w:rPr>
        <w:t>, contribui para que técnicos e produtores estabeleçam ajustes na dieta, visando atender efetivamente às necessidades nutricionais dos animais possibilitando assim, alcançar o máximo de eficiência prod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utiva dos mesmos.</w:t>
      </w:r>
    </w:p>
    <w:p>
      <w:pPr>
        <w:pStyle w:val="LO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cyan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cyan"/>
          <w:u w:val="none"/>
          <w:vertAlign w:val="baseline"/>
        </w:rPr>
      </w:r>
    </w:p>
    <w:p>
      <w:pPr>
        <w:pStyle w:val="LO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Palavras-chave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: calibração multivariada, NIR, pastagens, qualidade da dieta, ruminantes</w:t>
      </w:r>
    </w:p>
    <w:p>
      <w:pPr>
        <w:pStyle w:val="LO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yellow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yellow"/>
          <w:u w:val="none"/>
          <w:vertAlign w:val="baseline"/>
        </w:rPr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Introdução: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Considera-se que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as pastagens são recursos extremamente valiosos para a produção animal, entretanto, em função da espécie, seu manejo, das condições climáticas e fertilidade do solo podem apresentar grande variação na sua qualidade. A correta determinação da sua composição e valor nutritivo torna-se fundamental para o adequado ajuste da dieta e balanceamento correto dos nutrientes necessários para atender as exigências nutricionais de um rebanho de forma econômica.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Os métodos de análises tradicionalmente utilizados para medir os parâmetros de qualidade de pastagens são bastante demorados, trabalhosos e requerem grande quantidade de mão de obra (MONRROY et al., 2017). É reconhecido que o NIR tem sido uma valiosa técnica que vem sendo utilizada para determinar com acurácia a composição química de um grande número de forragens (GONTIJO NETO et al., 2012). Sendo considerada uma alternativa rápida, precisa e não destrutiva das amostras, de baixo custo e que dispensa a utilização de reagentes químicos para a realização das análises.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Portanto, o objetivo deste trabalho foi a construção de curvas de calibração para determinação de fósforo (P) e potássio (K), através da técnica de espectroscopia de infravermelho próximo (NIR), utilizando amostras provenientes de pastagens solteiras e consorciadas de diferentes mesorregiões de Santa Catarina. </w:t>
      </w:r>
    </w:p>
    <w:p>
      <w:pPr>
        <w:pStyle w:val="LO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bookmarkStart w:id="2" w:name="_heading=h.m6t50gr8l37n"/>
      <w:bookmarkEnd w:id="2"/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Material e métodos: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O trabalho foi realizado a partir de diferentes amostras de forragens solteiras e consorciadas provenientes Unidades de Referência Tecnológica (URT’s) participantes de um projeto de pesquisa participativa, em execução pelo Programa de Pecuária da Empresa de Pesquisa Agropecuária e Extensão Rural de Santa Catarina (EPAGRI)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FF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coletadas ao longo dos meses, entre 2020 a 2022. As coletas eram realizadas sempre na condição de pré-pastejo, momentos antes da entrada dos animais nos piquetes, determinado pela altura recomendada por técnicos conforme cada espécie presente. Em cada parcela de pasto eram coletados 4 pontos com um quadro de 25x25cm (em seguida feita uma amostra composta) a 7cm do solo para espécies mais baixas (Gramíneas anuais de inverno, </w:t>
      </w:r>
      <w:r>
        <w:rPr>
          <w:rFonts w:eastAsia="Arial" w:cs="Arial" w:ascii="Arial" w:hAnsi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Cynodons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, </w:t>
      </w:r>
      <w:r>
        <w:rPr>
          <w:rFonts w:eastAsia="Arial" w:cs="Arial" w:ascii="Arial" w:hAnsi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Axonopus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e trevos) ou com quadro de 1x1m a 35cm do solo para capins (</w:t>
      </w:r>
      <w:r>
        <w:rPr>
          <w:rFonts w:eastAsia="Arial" w:cs="Arial" w:ascii="Arial" w:hAnsi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Penisetuns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). As amostras secas e moídas foram enviadas à Estação Experimental da EPAGRI de Caçador para determinação de P e K e, em seguida ao Laboratório de Forragicultura pertencente ao Departamento de Zootecnia e Desenvolvimento Rural da Universidade Federal de Santa Catarina, para obtenção dos espectros e construção das curvas de calibração. Os espectros das amostras foram tomados, em triplicatas, no equipamento modelo Bruker MPA FT-NIR (BRUKER OPTIK GmbH) e as curvas de calibração para P e K foram construídas conforme descrito em Massignani et al. (2021). </w:t>
      </w:r>
    </w:p>
    <w:p>
      <w:pPr>
        <w:pStyle w:val="LO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  <w:bookmarkStart w:id="3" w:name="_heading=h.74xnpg8kq1a4"/>
      <w:bookmarkStart w:id="4" w:name="_heading=h.74xnpg8kq1a4"/>
      <w:bookmarkEnd w:id="4"/>
    </w:p>
    <w:p>
      <w:pPr>
        <w:pStyle w:val="LO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Resultados e discussões: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Na Tabela 1, são apresentados os parâmetros dos ajustes para a construção da curva de calibração. É possível observar a presença dos </w:t>
      </w:r>
      <w:r>
        <w:rPr>
          <w:rFonts w:eastAsia="Arial" w:cs="Arial" w:ascii="Arial" w:hAnsi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outliers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dos componentes P e K, menor que 10% do volume total da amostra alimentada na curva de calibração. </w:t>
      </w:r>
    </w:p>
    <w:p>
      <w:pPr>
        <w:pStyle w:val="LO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Tabela 1. Parâmetros de ajuste e erros dos modelos escolhidos para o conjunto de calibração para a quantificação do valor de fósforo (P) e potássio (K) em pastagens solteiras e consorciadas.</w:t>
      </w:r>
    </w:p>
    <w:tbl>
      <w:tblPr>
        <w:tblStyle w:val="Table1"/>
        <w:tblW w:w="910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345"/>
        <w:gridCol w:w="1320"/>
        <w:gridCol w:w="1200"/>
        <w:gridCol w:w="1650"/>
        <w:gridCol w:w="1439"/>
        <w:gridCol w:w="977"/>
        <w:gridCol w:w="1157"/>
        <w:gridCol w:w="1016"/>
      </w:tblGrid>
      <w:tr>
        <w:trPr>
          <w:trHeight w:val="300" w:hRule="atLeast"/>
        </w:trPr>
        <w:tc>
          <w:tcPr>
            <w:tcW w:w="9104" w:type="dxa"/>
            <w:gridSpan w:val="8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 xml:space="preserve">Componentes para construção das curvas de calibração </w:t>
            </w:r>
          </w:p>
        </w:tc>
      </w:tr>
      <w:tr>
        <w:trPr>
          <w:trHeight w:val="497" w:hRule="atLeast"/>
        </w:trPr>
        <w:tc>
          <w:tcPr>
            <w:tcW w:w="345" w:type="dxa"/>
            <w:tcBorders>
              <w:bottom w:val="single" w:sz="6" w:space="0" w:color="000000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1320" w:type="dxa"/>
            <w:tcBorders>
              <w:bottom w:val="single" w:sz="6" w:space="0" w:color="000000"/>
              <w:right w:val="single" w:sz="4" w:space="0" w:color="FFFFFF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-90" w:right="-90" w:hanging="0"/>
              <w:jc w:val="center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 xml:space="preserve"> </w:t>
            </w: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Nº amostras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4" w:space="0" w:color="FFFFFF"/>
              <w:bottom w:val="single" w:sz="6" w:space="0" w:color="000000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-90" w:right="-9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bookmarkStart w:id="5" w:name="_heading=h.30j0zll"/>
            <w:bookmarkEnd w:id="5"/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Nº espectros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-90" w:right="-9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Nº espectros calibração</w:t>
            </w:r>
          </w:p>
        </w:tc>
        <w:tc>
          <w:tcPr>
            <w:tcW w:w="143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-90" w:right="-90" w:hanging="0"/>
              <w:jc w:val="center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RMSECV*</w:t>
            </w:r>
          </w:p>
        </w:tc>
        <w:tc>
          <w:tcPr>
            <w:tcW w:w="97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-90" w:right="-90" w:hanging="0"/>
              <w:jc w:val="center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R</w:t>
            </w: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szCs w:val="20"/>
                <w:u w:val="none"/>
                <w:shd w:fill="auto" w:val="clear"/>
                <w:vertAlign w:val="superscript"/>
              </w:rPr>
              <w:t>2</w:t>
            </w: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 xml:space="preserve"> (%)</w:t>
            </w:r>
          </w:p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-90" w:right="-90" w:hanging="0"/>
              <w:jc w:val="center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11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-90" w:right="-90" w:hanging="0"/>
              <w:jc w:val="center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 xml:space="preserve">Outliers </w:t>
            </w: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(%)</w:t>
            </w:r>
          </w:p>
        </w:tc>
        <w:tc>
          <w:tcPr>
            <w:tcW w:w="101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-90" w:right="-90" w:hanging="0"/>
              <w:jc w:val="center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RPD* (%)</w:t>
            </w:r>
          </w:p>
        </w:tc>
      </w:tr>
      <w:tr>
        <w:trPr>
          <w:trHeight w:val="510" w:hRule="atLeast"/>
        </w:trPr>
        <w:tc>
          <w:tcPr>
            <w:tcW w:w="345" w:type="dxa"/>
            <w:tcBorders>
              <w:top w:val="single" w:sz="6" w:space="0" w:color="000000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-90" w:right="-9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P</w:t>
            </w:r>
          </w:p>
        </w:tc>
        <w:tc>
          <w:tcPr>
            <w:tcW w:w="1320" w:type="dxa"/>
            <w:tcBorders>
              <w:top w:val="single" w:sz="6" w:space="0" w:color="000000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-90" w:right="-90" w:hanging="0"/>
              <w:jc w:val="center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164</w:t>
            </w:r>
          </w:p>
        </w:tc>
        <w:tc>
          <w:tcPr>
            <w:tcW w:w="1200" w:type="dxa"/>
            <w:tcBorders>
              <w:top w:val="single" w:sz="6" w:space="0" w:color="000000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240" w:before="1" w:after="0"/>
              <w:ind w:left="-90" w:right="-9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492</w:t>
            </w:r>
          </w:p>
        </w:tc>
        <w:tc>
          <w:tcPr>
            <w:tcW w:w="1650" w:type="dxa"/>
            <w:tcBorders>
              <w:top w:val="single" w:sz="6" w:space="0" w:color="000000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-90" w:right="-9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452</w:t>
            </w:r>
          </w:p>
        </w:tc>
        <w:tc>
          <w:tcPr>
            <w:tcW w:w="1439" w:type="dxa"/>
            <w:tcBorders>
              <w:top w:val="single" w:sz="6" w:space="0" w:color="000000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-90" w:right="-90" w:hanging="0"/>
              <w:jc w:val="center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0,269</w:t>
            </w:r>
          </w:p>
        </w:tc>
        <w:tc>
          <w:tcPr>
            <w:tcW w:w="977" w:type="dxa"/>
            <w:tcBorders>
              <w:top w:val="single" w:sz="6" w:space="0" w:color="000000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-90" w:right="-90" w:hanging="0"/>
              <w:jc w:val="center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90,84</w:t>
            </w:r>
          </w:p>
        </w:tc>
        <w:tc>
          <w:tcPr>
            <w:tcW w:w="1157" w:type="dxa"/>
            <w:tcBorders>
              <w:top w:val="single" w:sz="6" w:space="0" w:color="000000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-90" w:right="-90" w:hanging="0"/>
              <w:jc w:val="center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8,1</w:t>
            </w:r>
          </w:p>
        </w:tc>
        <w:tc>
          <w:tcPr>
            <w:tcW w:w="1016" w:type="dxa"/>
            <w:tcBorders>
              <w:top w:val="single" w:sz="6" w:space="0" w:color="000000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-90" w:right="-90" w:hanging="0"/>
              <w:jc w:val="center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3,27</w:t>
            </w:r>
          </w:p>
        </w:tc>
      </w:tr>
      <w:tr>
        <w:trPr>
          <w:trHeight w:val="300" w:hRule="atLeast"/>
        </w:trPr>
        <w:tc>
          <w:tcPr>
            <w:tcW w:w="345" w:type="dxa"/>
            <w:tcBorders>
              <w:top w:val="single" w:sz="6" w:space="0" w:color="FFFFFF"/>
              <w:bottom w:val="single" w:sz="6" w:space="0" w:color="000000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-90" w:right="-90" w:hanging="0"/>
              <w:jc w:val="center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K</w:t>
            </w:r>
          </w:p>
        </w:tc>
        <w:tc>
          <w:tcPr>
            <w:tcW w:w="1320" w:type="dxa"/>
            <w:tcBorders>
              <w:bottom w:val="single" w:sz="6" w:space="0" w:color="000000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-90" w:right="-90" w:hanging="0"/>
              <w:jc w:val="center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171</w:t>
            </w:r>
          </w:p>
        </w:tc>
        <w:tc>
          <w:tcPr>
            <w:tcW w:w="1200" w:type="dxa"/>
            <w:tcBorders>
              <w:top w:val="single" w:sz="6" w:space="0" w:color="FFFFFF"/>
              <w:bottom w:val="single" w:sz="6" w:space="0" w:color="000000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240" w:before="1" w:after="0"/>
              <w:ind w:left="-90" w:right="-9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513</w:t>
            </w:r>
          </w:p>
        </w:tc>
        <w:tc>
          <w:tcPr>
            <w:tcW w:w="1650" w:type="dxa"/>
            <w:tcBorders>
              <w:top w:val="single" w:sz="6" w:space="0" w:color="FFFFFF"/>
              <w:bottom w:val="single" w:sz="6" w:space="0" w:color="000000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-90" w:right="-9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462</w:t>
            </w:r>
          </w:p>
        </w:tc>
        <w:tc>
          <w:tcPr>
            <w:tcW w:w="1439" w:type="dxa"/>
            <w:tcBorders>
              <w:top w:val="single" w:sz="6" w:space="0" w:color="FFFFFF"/>
              <w:bottom w:val="single" w:sz="6" w:space="0" w:color="000000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-90" w:right="-90" w:hanging="0"/>
              <w:jc w:val="center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2,34</w:t>
            </w:r>
          </w:p>
        </w:tc>
        <w:tc>
          <w:tcPr>
            <w:tcW w:w="977" w:type="dxa"/>
            <w:tcBorders>
              <w:top w:val="single" w:sz="6" w:space="0" w:color="FFFFFF"/>
              <w:bottom w:val="single" w:sz="6" w:space="0" w:color="000000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-90" w:right="-90" w:hanging="0"/>
              <w:jc w:val="center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90,93</w:t>
            </w:r>
          </w:p>
        </w:tc>
        <w:tc>
          <w:tcPr>
            <w:tcW w:w="1157" w:type="dxa"/>
            <w:tcBorders>
              <w:top w:val="single" w:sz="6" w:space="0" w:color="FFFFFF"/>
              <w:bottom w:val="single" w:sz="6" w:space="0" w:color="000000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-90" w:right="-90" w:hanging="0"/>
              <w:jc w:val="center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9,9</w:t>
            </w:r>
          </w:p>
        </w:tc>
        <w:tc>
          <w:tcPr>
            <w:tcW w:w="1016" w:type="dxa"/>
            <w:tcBorders>
              <w:top w:val="single" w:sz="6" w:space="0" w:color="FFFFFF"/>
              <w:bottom w:val="single" w:sz="6" w:space="0" w:color="000000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-90" w:hanging="0"/>
              <w:jc w:val="center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3,32</w:t>
            </w:r>
          </w:p>
        </w:tc>
      </w:tr>
      <w:tr>
        <w:trPr>
          <w:trHeight w:val="345" w:hRule="atLeast"/>
        </w:trPr>
        <w:tc>
          <w:tcPr>
            <w:tcW w:w="9104" w:type="dxa"/>
            <w:gridSpan w:val="8"/>
            <w:tcBorders>
              <w:top w:val="single" w:sz="6" w:space="0" w:color="000000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both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 xml:space="preserve">*RMSECV: Raiz quadrada do erro quadrático médio da validação cruzada, RPD: Relação de desempenho do desvio. </w:t>
            </w:r>
          </w:p>
        </w:tc>
      </w:tr>
    </w:tbl>
    <w:p>
      <w:pPr>
        <w:pStyle w:val="LO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bookmarkStart w:id="6" w:name="_heading=h.1fob9te"/>
      <w:bookmarkEnd w:id="6"/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Ao final foi possível obter com a curva de calibração para fósforo (Figura 1.a) um R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szCs w:val="22"/>
          <w:u w:val="none"/>
          <w:shd w:fill="auto" w:val="clear"/>
          <w:vertAlign w:val="superscript"/>
        </w:rPr>
        <w:t>2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de 90,84%, um RMSECV de 0,269 (mg.g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szCs w:val="22"/>
          <w:u w:val="none"/>
          <w:shd w:fill="auto" w:val="clear"/>
          <w:vertAlign w:val="superscript"/>
        </w:rPr>
        <w:t>-1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) e um RPD de 3,27. Já para potássio (Figura 1.b) foi possível obter um R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szCs w:val="22"/>
          <w:u w:val="none"/>
          <w:shd w:fill="auto" w:val="clear"/>
          <w:vertAlign w:val="superscript"/>
        </w:rPr>
        <w:t xml:space="preserve">2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de 90,93%, um RMSECV de 2,34 (mg.g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szCs w:val="22"/>
          <w:u w:val="none"/>
          <w:shd w:fill="auto" w:val="clear"/>
          <w:vertAlign w:val="superscript"/>
        </w:rPr>
        <w:t>-1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) e RPD de 3,32. </w:t>
      </w:r>
    </w:p>
    <w:p>
      <w:pPr>
        <w:pStyle w:val="LO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/>
        <w:drawing>
          <wp:inline distT="0" distB="0" distL="0" distR="0">
            <wp:extent cx="5759450" cy="1625600"/>
            <wp:effectExtent l="0" t="0" r="0" b="0"/>
            <wp:docPr id="2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62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Onormal1"/>
        <w:keepNext w:val="false"/>
        <w:keepLines w:val="false"/>
        <w:pageBreakBefore w:val="false"/>
        <w:widowControl/>
        <w:shd w:val="clear" w:fill="auto"/>
        <w:spacing w:lineRule="auto" w:line="240" w:before="240" w:after="240"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Figura 1 – Valores estimados (eixo y) e verdadeiros (eixo x) em g/kg das curvas de calibração para fósforo (1.a) e Potássio (1.b)</w:t>
      </w:r>
    </w:p>
    <w:p>
      <w:pPr>
        <w:pStyle w:val="LO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bookmarkStart w:id="7" w:name="_heading=h.3znysh7"/>
      <w:bookmarkEnd w:id="7"/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Apesar das curvas para determinação de minerais em pastagens demonstrarem boa acurácia (RMSECV) e precisão R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szCs w:val="22"/>
          <w:u w:val="none"/>
          <w:shd w:fill="auto" w:val="clear"/>
          <w:vertAlign w:val="superscript"/>
        </w:rPr>
        <w:t>2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, ainda existem muitos questionamentos a respeito da capacidade de se realizar a análise de minerais através da espectroscopia NIR. Tendo em vista que as pesquisas voltadas à determinação de minerais através do NIRS não serem numerosas e referirem-se, principalmente aos macronutrientes, e a predição de microminerais relatada com menor frequência, em gramíneas (VAZQUEZ DE ALDANA et al., 1995). Entretanto, ao avaliar a composição química de capins bermudas (</w:t>
      </w:r>
      <w:r>
        <w:rPr>
          <w:rFonts w:eastAsia="Arial" w:cs="Arial" w:ascii="Arial" w:hAnsi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Cynodon spp.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), Fontaneli et al. (2004), obtiveram índices considerados satisfatórios para a calibração de minerais, apresentando um R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szCs w:val="22"/>
          <w:u w:val="none"/>
          <w:shd w:fill="auto" w:val="clear"/>
          <w:vertAlign w:val="superscript"/>
        </w:rPr>
        <w:t xml:space="preserve">2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de 97% para fósforo e um R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szCs w:val="22"/>
          <w:u w:val="none"/>
          <w:shd w:fill="auto" w:val="clear"/>
          <w:vertAlign w:val="superscript"/>
        </w:rPr>
        <w:t xml:space="preserve">2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de 99% para potássio. Apesar dos valores de R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szCs w:val="22"/>
          <w:u w:val="none"/>
          <w:shd w:fill="auto" w:val="clear"/>
          <w:vertAlign w:val="superscript"/>
        </w:rPr>
        <w:t>2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encontrados neste estudo estarem abaixo dos relatados por Fontaneli et al (2004), as curvas aqui construídas são oriundas de múltiplas espécies, o que confere maior variação dos dados. Ainda assim, as curvas demonstram que possibilidade para o uso em análises de rotina no laboratório e futuramente podem ser melhoradas com a incorporação de mais amostras.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40" w:before="90" w:after="0"/>
        <w:ind w:left="0" w:right="116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highlight w:val="cyan"/>
          <w:u w:val="none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highlight w:val="cyan"/>
          <w:u w:val="none"/>
          <w:vertAlign w:val="baseline"/>
        </w:rPr>
      </w:r>
    </w:p>
    <w:p>
      <w:pPr>
        <w:pStyle w:val="LO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Conclusão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: A partir dos resultados pode-se concluir que a utilização do NIRS apresenta potencial para ser utilizado como ferramenta para predizer a concentração de P e K em forragens de múltiplas espécies, já que não destrói a amostra, não utiliza reagente e é rápido e preciso. </w:t>
      </w:r>
    </w:p>
    <w:p>
      <w:pPr>
        <w:pStyle w:val="LO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highlight w:val="yellow"/>
          <w:u w:val="none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highlight w:val="yellow"/>
          <w:u w:val="none"/>
          <w:vertAlign w:val="baseline"/>
        </w:rPr>
      </w:r>
    </w:p>
    <w:p>
      <w:pPr>
        <w:pStyle w:val="LO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Cambria" w:hAnsi="Cambria" w:eastAsia="Cambria" w:cs="Cambria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Agradecimento: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Às Unidades de Referência Tecnológica por possibilitarem a realização da pesquisa.</w:t>
      </w:r>
    </w:p>
    <w:p>
      <w:pPr>
        <w:pStyle w:val="LO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LO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Referências: </w:t>
      </w:r>
    </w:p>
    <w:p>
      <w:pPr>
        <w:pStyle w:val="LOnormal1"/>
        <w:keepNext w:val="false"/>
        <w:keepLines w:val="false"/>
        <w:pageBreakBefore w:val="false"/>
        <w:widowControl/>
        <w:shd w:val="clear" w:fill="FFFFFF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</w:r>
    </w:p>
    <w:p>
      <w:pPr>
        <w:pStyle w:val="LOnormal1"/>
        <w:keepNext w:val="false"/>
        <w:keepLines w:val="false"/>
        <w:pageBreakBefore w:val="false"/>
        <w:widowControl/>
        <w:shd w:val="clear" w:fill="FFFFFF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FONTANELI, R. S., SCHEFFER-BASSO, S. M., DÜRR, J. W., APPELT, J.V., BORTOLINI, F., &amp; HAUBERT, F. A. Predição da composição química de bermudas (Cynodon spp.) pela espectroscopia de reflectância no infravermelho proximal. Revista Brasileira de Zootecnia,  v.33.4, p. 838-842, 2004.</w:t>
      </w:r>
    </w:p>
    <w:p>
      <w:pPr>
        <w:pStyle w:val="LOnormal1"/>
        <w:keepNext w:val="false"/>
        <w:keepLines w:val="false"/>
        <w:pageBreakBefore w:val="false"/>
        <w:widowControl/>
        <w:shd w:val="clear" w:fill="FFFFFF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</w:r>
    </w:p>
    <w:p>
      <w:pPr>
        <w:pStyle w:val="LOnormal1"/>
        <w:keepNext w:val="false"/>
        <w:keepLines w:val="false"/>
        <w:pageBreakBefore w:val="false"/>
        <w:widowControl/>
        <w:shd w:val="clear" w:fill="FFFFFF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GONTIJO NETO, M. M., SIMEONE, M.L.F., GUIMARAES, C. de C. Predição do teor de proteína bruta em biomassa de capins braquiária por meio de espectroscopia NIR. Embrapa Milho e Sorgo-Comunicado Técnico (INFOTECA-E), 2012. </w:t>
      </w:r>
    </w:p>
    <w:p>
      <w:pPr>
        <w:pStyle w:val="LOnormal1"/>
        <w:keepNext w:val="false"/>
        <w:keepLines w:val="false"/>
        <w:pageBreakBefore w:val="false"/>
        <w:widowControl/>
        <w:shd w:val="clear" w:fill="FFFFFF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</w:r>
    </w:p>
    <w:p>
      <w:pPr>
        <w:pStyle w:val="LOnormal1"/>
        <w:keepNext w:val="false"/>
        <w:keepLines w:val="false"/>
        <w:pageBreakBefore w:val="false"/>
        <w:widowControl/>
        <w:shd w:val="clear" w:fill="FFFFFF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MASSIGNANI, C.; VANDRESEN, B. B.; MARQUES, J. V.; KAZAMA, R.; OSMARI, M. P.; SILVA-KAZAMA, D. C. da. A single calibration of near-infrared spectroscopy to determine the quality of forage for multiple species. Research, Society and Development, [S. l.], v. 10, n. 10, p. e548101018990, 2021. </w:t>
      </w:r>
    </w:p>
    <w:p>
      <w:pPr>
        <w:pStyle w:val="LOnormal1"/>
        <w:keepNext w:val="false"/>
        <w:keepLines w:val="false"/>
        <w:pageBreakBefore w:val="false"/>
        <w:widowControl/>
        <w:shd w:val="clear" w:fill="FFFFFF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1"/>
        <w:keepNext w:val="false"/>
        <w:keepLines w:val="false"/>
        <w:pageBreakBefore w:val="false"/>
        <w:widowControl/>
        <w:shd w:val="clear" w:fill="FFFFFF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MONRROY, M. GUTIÉRREZ, D., MIRANDA, M., HERNÁNDEZ, K., &amp; RENÁN GARCÍA, J.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 xml:space="preserve">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Determination of brachiaria spp. forage quality by nearinfrared spectroscopy and partial least squares regression. Journal of the Chilean Chemical Society, 62.2: 3472-3477, 2017.</w:t>
      </w:r>
    </w:p>
    <w:p>
      <w:pPr>
        <w:pStyle w:val="LOnormal1"/>
        <w:keepNext w:val="false"/>
        <w:keepLines w:val="false"/>
        <w:pageBreakBefore w:val="false"/>
        <w:widowControl/>
        <w:shd w:val="clear" w:fill="FFFFFF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</w:r>
    </w:p>
    <w:p>
      <w:pPr>
        <w:pStyle w:val="LOnormal1"/>
        <w:keepNext w:val="false"/>
        <w:keepLines w:val="false"/>
        <w:pageBreakBefore w:val="false"/>
        <w:widowControl/>
        <w:shd w:val="clear" w:fill="FFFFFF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VAZQUEZ DE ALDANA, B.R.;</w:t>
      </w:r>
      <w:r>
        <w:rPr>
          <w:rFonts w:eastAsia="Arial" w:cs="Arial" w:ascii="Arial" w:hAnsi="Arial"/>
          <w:sz w:val="22"/>
          <w:szCs w:val="22"/>
        </w:rPr>
        <w:t xml:space="preserve">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GARCIA-CRIADO, B.; GARCIA-CIUDAD, A.; PEREZ CORONA, M.E. Estimation of mineral content in natural grasslands by near infrared reflectance spectroscopy. 1995. Comm. Soil Sci. Plant Anal. 26, 1386–1396. </w:t>
      </w:r>
    </w:p>
    <w:p>
      <w:pPr>
        <w:pStyle w:val="LO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284" w:hanging="0"/>
        <w:jc w:val="both"/>
        <w:rPr>
          <w:rFonts w:ascii="Cambria" w:hAnsi="Cambria" w:eastAsia="Cambria" w:cs="Cambria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Cambria" w:cs="Cambria" w:ascii="Cambria" w:hAnsi="Cambria"/>
          <w:b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LO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284" w:hanging="0"/>
        <w:jc w:val="both"/>
        <w:rPr>
          <w:rFonts w:ascii="Cambria" w:hAnsi="Cambria" w:eastAsia="Cambria" w:cs="Cambria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/>
      </w:r>
    </w:p>
    <w:sectPr>
      <w:headerReference w:type="default" r:id="rId5"/>
      <w:footerReference w:type="default" r:id="rId6"/>
      <w:type w:val="nextPage"/>
      <w:pgSz w:w="11906" w:h="16838"/>
      <w:pgMar w:left="1418" w:right="1418" w:gutter="0" w:header="0" w:top="1418" w:footer="0" w:bottom="1418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Helvetica Neue">
    <w:charset w:val="00"/>
    <w:family w:val="swiss"/>
    <w:pitch w:val="variable"/>
  </w:font>
  <w:font w:name="Helvetica Neue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mbria">
    <w:charset w:val="00"/>
    <w:family w:val="roman"/>
    <w:pitch w:val="variable"/>
  </w:font>
  <w:font w:name="Georgia"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1"/>
      <w:keepNext w:val="false"/>
      <w:keepLines w:val="false"/>
      <w:pageBreakBefore w:val="false"/>
      <w:widowControl/>
      <w:shd w:val="clear" w:fill="auto"/>
      <w:tabs>
        <w:tab w:val="clear" w:pos="720"/>
        <w:tab w:val="right" w:pos="9020" w:leader="none"/>
      </w:tabs>
      <w:spacing w:lineRule="auto" w:line="240" w:before="0" w:after="0"/>
      <w:ind w:left="0" w:right="0" w:hanging="0"/>
      <w:jc w:val="left"/>
      <w:rPr>
        <w:rFonts w:ascii="Helvetica Neue" w:hAnsi="Helvetica Neue" w:eastAsia="Helvetica Neue" w:cs="Helvetica Neue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Helvetica Neue" w:cs="Helvetica Neue" w:ascii="Helvetica Neue" w:hAnsi="Helvetica Neue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1"/>
      <w:keepNext w:val="false"/>
      <w:keepLines w:val="false"/>
      <w:pageBreakBefore w:val="false"/>
      <w:widowControl/>
      <w:shd w:val="clear" w:fill="auto"/>
      <w:spacing w:lineRule="auto" w:line="240" w:before="0" w:after="0"/>
      <w:ind w:left="0" w:right="0" w:hanging="0"/>
      <w:jc w:val="left"/>
      <w:rPr>
        <w:rFonts w:ascii="Cambria" w:hAnsi="Cambria" w:eastAsia="Cambria" w:cs="Cambria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A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Cambria" w:cs="Cambria" w:ascii="Cambria" w:hAnsi="Cambria"/>
        <w:b w:val="false"/>
        <w:i w:val="false"/>
        <w:caps w:val="false"/>
        <w:smallCaps w:val="false"/>
        <w:strike w:val="false"/>
        <w:dstrike w:val="false"/>
        <w:color w:val="00000A"/>
        <w:position w:val="0"/>
        <w:sz w:val="24"/>
        <w:sz w:val="24"/>
        <w:szCs w:val="24"/>
        <w:u w:val="none"/>
        <w:shd w:fill="auto" w:val="clear"/>
        <w:vertAlign w:val="baseline"/>
      </w:rPr>
    </w:r>
  </w:p>
</w:hdr>
</file>

<file path=word/settings.xml><?xml version="1.0" encoding="utf-8"?>
<w:settings xmlns:w="http://schemas.openxmlformats.org/wordprocessingml/2006/main">
  <w:zoom w:percent="14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Lucida Sans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 w:default="1">
    <w:name w:val="Normal"/>
    <w:qFormat/>
    <w:rsid w:val="3e00dc0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4"/>
      <w:szCs w:val="24"/>
      <w:lang w:val="pt-BR" w:eastAsia="zh-CN" w:bidi="hi-IN"/>
    </w:rPr>
  </w:style>
  <w:style w:type="paragraph" w:styleId="Ttulo1">
    <w:name w:val="Heading 1"/>
    <w:basedOn w:val="LOnormal0"/>
    <w:next w:val="LOnormal0"/>
    <w:uiPriority w:val="9"/>
    <w:qFormat/>
    <w:rsid w:val="3e00dc00"/>
    <w:pPr>
      <w:keepNext w:val="true"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LOnormal0"/>
    <w:next w:val="LOnormal0"/>
    <w:uiPriority w:val="9"/>
    <w:semiHidden/>
    <w:unhideWhenUsed/>
    <w:qFormat/>
    <w:rsid w:val="3e00dc00"/>
    <w:pPr>
      <w:keepNext w:val="true"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LOnormal0"/>
    <w:next w:val="LOnormal0"/>
    <w:uiPriority w:val="9"/>
    <w:semiHidden/>
    <w:unhideWhenUsed/>
    <w:qFormat/>
    <w:rsid w:val="3e00dc00"/>
    <w:pPr>
      <w:keepNext w:val="true"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LOnormal0"/>
    <w:next w:val="LOnormal0"/>
    <w:uiPriority w:val="9"/>
    <w:semiHidden/>
    <w:unhideWhenUsed/>
    <w:qFormat/>
    <w:rsid w:val="3e00dc00"/>
    <w:pPr>
      <w:keepNext w:val="true"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LOnormal0"/>
    <w:next w:val="LOnormal0"/>
    <w:uiPriority w:val="9"/>
    <w:semiHidden/>
    <w:unhideWhenUsed/>
    <w:qFormat/>
    <w:rsid w:val="3e00dc00"/>
    <w:pPr>
      <w:keepNext w:val="true"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LOnormal0"/>
    <w:next w:val="LOnormal0"/>
    <w:uiPriority w:val="9"/>
    <w:semiHidden/>
    <w:unhideWhenUsed/>
    <w:qFormat/>
    <w:rsid w:val="3e00dc00"/>
    <w:pPr>
      <w:keepNext w:val="true"/>
      <w:keepLines/>
      <w:spacing w:before="200" w:after="40"/>
      <w:outlineLvl w:val="5"/>
    </w:pPr>
    <w:rPr>
      <w:b/>
      <w:bCs/>
      <w:sz w:val="20"/>
      <w:szCs w:val="20"/>
    </w:rPr>
  </w:style>
  <w:style w:type="paragraph" w:styleId="Ttulo7">
    <w:name w:val="Heading 7"/>
    <w:basedOn w:val="LOnormal0"/>
    <w:next w:val="LOnormal0"/>
    <w:link w:val="Ttulo7Char"/>
    <w:uiPriority w:val="9"/>
    <w:unhideWhenUsed/>
    <w:qFormat/>
    <w:rsid w:val="3e00dc00"/>
    <w:pPr>
      <w:keepNext w:val="true"/>
      <w:keepLines/>
      <w:spacing w:before="40" w:after="120"/>
      <w:outlineLvl w:val="6"/>
    </w:pPr>
    <w:rPr>
      <w:rFonts w:ascii="Helvetica Neue" w:hAnsi="Helvetica Neue" w:eastAsia="Helvetica Neue" w:cs="Helvetica Neue" w:asciiTheme="majorHAnsi" w:cstheme="majorBidi" w:eastAsiaTheme="majorEastAsia" w:hAnsiTheme="majorHAnsi"/>
      <w:i/>
      <w:iCs/>
      <w:color w:val="243F60"/>
    </w:rPr>
  </w:style>
  <w:style w:type="paragraph" w:styleId="Ttulo8">
    <w:name w:val="Heading 8"/>
    <w:basedOn w:val="LOnormal0"/>
    <w:next w:val="LOnormal0"/>
    <w:link w:val="Ttulo8Char"/>
    <w:uiPriority w:val="9"/>
    <w:unhideWhenUsed/>
    <w:qFormat/>
    <w:rsid w:val="3e00dc00"/>
    <w:pPr>
      <w:keepNext w:val="true"/>
      <w:keepLines/>
      <w:spacing w:before="40" w:after="120"/>
      <w:outlineLvl w:val="7"/>
    </w:pPr>
    <w:rPr>
      <w:rFonts w:ascii="Helvetica Neue" w:hAnsi="Helvetica Neue" w:eastAsia="Helvetica Neue" w:cs="Helvetica Neue" w:asciiTheme="majorHAnsi" w:cstheme="majorBidi" w:eastAsiaTheme="majorEastAsia" w:hAnsiTheme="majorHAnsi"/>
      <w:color w:val="272727"/>
      <w:sz w:val="21"/>
      <w:szCs w:val="21"/>
    </w:rPr>
  </w:style>
  <w:style w:type="paragraph" w:styleId="Ttulo9">
    <w:name w:val="Heading 9"/>
    <w:basedOn w:val="LOnormal0"/>
    <w:next w:val="LOnormal0"/>
    <w:link w:val="Ttulo9Char"/>
    <w:uiPriority w:val="9"/>
    <w:unhideWhenUsed/>
    <w:qFormat/>
    <w:rsid w:val="3e00dc00"/>
    <w:pPr>
      <w:keepNext w:val="true"/>
      <w:keepLines/>
      <w:spacing w:before="40" w:after="120"/>
      <w:outlineLvl w:val="8"/>
    </w:pPr>
    <w:rPr>
      <w:rFonts w:ascii="Helvetica Neue" w:hAnsi="Helvetica Neue" w:eastAsia="Helvetica Neue" w:cs="Helvetica Neue" w:asciiTheme="majorHAnsi" w:cstheme="majorBidi" w:eastAsiaTheme="majorEastAsia" w:hAnsiTheme="majorHAnsi"/>
      <w:i/>
      <w:iCs/>
      <w:color w:val="272727"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Pr>
      <w:u w:val="single"/>
    </w:rPr>
  </w:style>
  <w:style w:type="character" w:styleId="Ttulo7Char" w:customStyle="1">
    <w:name w:val="Título 7 Char"/>
    <w:basedOn w:val="DefaultParagraphFont"/>
    <w:uiPriority w:val="9"/>
    <w:qFormat/>
    <w:rsid w:val="3e00dc00"/>
    <w:rPr>
      <w:rFonts w:ascii="Helvetica Neue" w:hAnsi="Helvetica Neue" w:eastAsia="Helvetica Neue" w:cs="Helvetica Neue" w:asciiTheme="majorHAnsi" w:cstheme="majorBidi" w:eastAsiaTheme="majorEastAsia" w:hAnsiTheme="majorHAnsi"/>
      <w:i/>
      <w:iCs/>
      <w:color w:val="243F60"/>
      <w:lang w:val="pt-BR"/>
    </w:rPr>
  </w:style>
  <w:style w:type="character" w:styleId="Ttulo8Char" w:customStyle="1">
    <w:name w:val="Título 8 Char"/>
    <w:basedOn w:val="DefaultParagraphFont"/>
    <w:uiPriority w:val="9"/>
    <w:qFormat/>
    <w:rsid w:val="3e00dc00"/>
    <w:rPr>
      <w:rFonts w:ascii="Helvetica Neue" w:hAnsi="Helvetica Neue" w:eastAsia="Helvetica Neue" w:cs="Helvetica Neue" w:asciiTheme="majorHAnsi" w:cstheme="majorBidi" w:eastAsiaTheme="majorEastAsia" w:hAnsiTheme="majorHAnsi"/>
      <w:color w:val="272727"/>
      <w:sz w:val="21"/>
      <w:szCs w:val="21"/>
      <w:lang w:val="pt-BR"/>
    </w:rPr>
  </w:style>
  <w:style w:type="character" w:styleId="Ttulo9Char" w:customStyle="1">
    <w:name w:val="Título 9 Char"/>
    <w:basedOn w:val="DefaultParagraphFont"/>
    <w:uiPriority w:val="9"/>
    <w:qFormat/>
    <w:rsid w:val="3e00dc00"/>
    <w:rPr>
      <w:rFonts w:ascii="Helvetica Neue" w:hAnsi="Helvetica Neue" w:eastAsia="Helvetica Neue" w:cs="Helvetica Neue" w:asciiTheme="majorHAnsi" w:cstheme="majorBidi" w:eastAsiaTheme="majorEastAsia" w:hAnsiTheme="majorHAnsi"/>
      <w:i/>
      <w:iCs/>
      <w:color w:val="272727"/>
      <w:sz w:val="21"/>
      <w:szCs w:val="21"/>
      <w:lang w:val="pt-BR"/>
    </w:rPr>
  </w:style>
  <w:style w:type="character" w:styleId="CitaoChar" w:customStyle="1">
    <w:name w:val="Citação Char"/>
    <w:basedOn w:val="DefaultParagraphFont"/>
    <w:link w:val="Quote"/>
    <w:uiPriority w:val="29"/>
    <w:qFormat/>
    <w:rsid w:val="3e00dc00"/>
    <w:rPr>
      <w:i/>
      <w:iCs/>
      <w:color w:val="404040" w:themeColor="text1" w:themeTint="bf"/>
      <w:lang w:val="pt-BR"/>
    </w:rPr>
  </w:style>
  <w:style w:type="character" w:styleId="CitaoIntensaChar" w:customStyle="1">
    <w:name w:val="Citação Intensa Char"/>
    <w:basedOn w:val="DefaultParagraphFont"/>
    <w:link w:val="IntenseQuote"/>
    <w:uiPriority w:val="30"/>
    <w:qFormat/>
    <w:rsid w:val="3e00dc00"/>
    <w:rPr>
      <w:i/>
      <w:iCs/>
      <w:color w:val="4F81BD" w:themeColor="accent1"/>
      <w:lang w:val="pt-BR"/>
    </w:rPr>
  </w:style>
  <w:style w:type="character" w:styleId="TextodenotadefimChar" w:customStyle="1">
    <w:name w:val="Texto de nota de fim Char"/>
    <w:basedOn w:val="DefaultParagraphFont"/>
    <w:uiPriority w:val="99"/>
    <w:semiHidden/>
    <w:qFormat/>
    <w:rsid w:val="3e00dc00"/>
    <w:rPr>
      <w:sz w:val="20"/>
      <w:szCs w:val="20"/>
      <w:lang w:val="pt-BR"/>
    </w:rPr>
  </w:style>
  <w:style w:type="character" w:styleId="RodapChar" w:customStyle="1">
    <w:name w:val="Rodapé Char"/>
    <w:basedOn w:val="DefaultParagraphFont"/>
    <w:uiPriority w:val="99"/>
    <w:qFormat/>
    <w:rsid w:val="3e00dc00"/>
    <w:rPr>
      <w:lang w:val="pt-BR"/>
    </w:rPr>
  </w:style>
  <w:style w:type="character" w:styleId="TextodenotaderodapChar" w:customStyle="1">
    <w:name w:val="Texto de nota de rodapé Char"/>
    <w:basedOn w:val="DefaultParagraphFont"/>
    <w:uiPriority w:val="99"/>
    <w:semiHidden/>
    <w:qFormat/>
    <w:rsid w:val="3e00dc00"/>
    <w:rPr>
      <w:sz w:val="20"/>
      <w:szCs w:val="20"/>
      <w:lang w:val="pt-BR"/>
    </w:rPr>
  </w:style>
  <w:style w:type="character" w:styleId="CabealhoChar" w:customStyle="1">
    <w:name w:val="Cabeçalho Char"/>
    <w:basedOn w:val="DefaultParagraphFont"/>
    <w:uiPriority w:val="99"/>
    <w:qFormat/>
    <w:rsid w:val="3e00dc00"/>
    <w:rPr>
      <w:lang w:val="pt-BR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934ada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Annotationtext"/>
    <w:uiPriority w:val="99"/>
    <w:semiHidden/>
    <w:qFormat/>
    <w:rsid w:val="00934ada"/>
    <w:rPr>
      <w:rFonts w:cs="Mangal"/>
      <w:sz w:val="20"/>
      <w:szCs w:val="18"/>
    </w:rPr>
  </w:style>
  <w:style w:type="character" w:styleId="AssuntodocomentrioChar" w:customStyle="1">
    <w:name w:val="Assunto do comentário Char"/>
    <w:basedOn w:val="TextodecomentrioChar"/>
    <w:link w:val="Annotationsubject"/>
    <w:uiPriority w:val="99"/>
    <w:semiHidden/>
    <w:qFormat/>
    <w:rsid w:val="00934ada"/>
    <w:rPr>
      <w:rFonts w:cs="Mangal"/>
      <w:b/>
      <w:bCs/>
      <w:sz w:val="20"/>
      <w:szCs w:val="18"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934ada"/>
    <w:rPr>
      <w:rFonts w:ascii="Tahoma" w:hAnsi="Tahoma" w:cs="Mangal"/>
      <w:sz w:val="16"/>
      <w:szCs w:val="14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LOnormal1"/>
    <w:pPr>
      <w:spacing w:lineRule="auto" w:line="276" w:before="0" w:after="140"/>
    </w:pPr>
    <w:rPr/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LOnormal1"/>
    <w:qFormat/>
    <w:pPr>
      <w:suppressLineNumbers/>
    </w:pPr>
    <w:rPr/>
  </w:style>
  <w:style w:type="paragraph" w:styleId="LOnormal1" w:default="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4"/>
      <w:szCs w:val="24"/>
      <w:lang w:val="pt-BR" w:eastAsia="zh-CN" w:bidi="hi-IN"/>
    </w:rPr>
  </w:style>
  <w:style w:type="paragraph" w:styleId="Ttulododocumento">
    <w:name w:val="Title"/>
    <w:basedOn w:val="LOnormal0"/>
    <w:next w:val="Corpodotexto"/>
    <w:uiPriority w:val="10"/>
    <w:qFormat/>
    <w:rsid w:val="3e00dc00"/>
    <w:pPr>
      <w:keepNext w:val="true"/>
      <w:keepLines/>
      <w:spacing w:before="480" w:after="120"/>
    </w:pPr>
    <w:rPr>
      <w:b/>
      <w:bCs/>
      <w:sz w:val="72"/>
      <w:szCs w:val="72"/>
    </w:rPr>
  </w:style>
  <w:style w:type="paragraph" w:styleId="Caption">
    <w:name w:val="caption"/>
    <w:basedOn w:val="LOnormal1"/>
    <w:qFormat/>
    <w:pPr>
      <w:suppressLineNumbers/>
      <w:spacing w:before="120" w:after="120"/>
    </w:pPr>
    <w:rPr>
      <w:i/>
      <w:iCs/>
    </w:rPr>
  </w:style>
  <w:style w:type="paragraph" w:styleId="LOnormal0" w:customStyle="1">
    <w:name w:val="LO-normal0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4"/>
      <w:szCs w:val="24"/>
      <w:lang w:val="pt-BR" w:eastAsia="zh-CN" w:bidi="hi-IN"/>
    </w:rPr>
  </w:style>
  <w:style w:type="paragraph" w:styleId="Normal0" w:customStyle="1">
    <w:name w:val="Normal0"/>
    <w:next w:val="LOnormal0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4"/>
      <w:szCs w:val="24"/>
      <w:lang w:val="pt-BR" w:eastAsia="zh-CN" w:bidi="hi-IN"/>
    </w:rPr>
  </w:style>
  <w:style w:type="paragraph" w:styleId="LOnormal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mbria" w:hAnsi="Cambria" w:eastAsia="Arial Unicode MS" w:cs="Arial Unicode MS"/>
      <w:color w:val="00000A"/>
      <w:kern w:val="0"/>
      <w:sz w:val="24"/>
      <w:szCs w:val="24"/>
      <w:u w:val="none" w:color="00000A"/>
      <w:lang w:val="pt-BR" w:eastAsia="zh-CN" w:bidi="hi-IN"/>
    </w:rPr>
  </w:style>
  <w:style w:type="paragraph" w:styleId="CabealhoeRodap" w:customStyle="1">
    <w:name w:val="Cabeçalho e Rodapé"/>
    <w:qFormat/>
    <w:pPr>
      <w:widowControl/>
      <w:tabs>
        <w:tab w:val="clear" w:pos="720"/>
        <w:tab w:val="right" w:pos="9020" w:leader="none"/>
      </w:tabs>
      <w:suppressAutoHyphens w:val="true"/>
      <w:bidi w:val="0"/>
      <w:spacing w:before="0" w:after="0"/>
      <w:jc w:val="left"/>
    </w:pPr>
    <w:rPr>
      <w:rFonts w:ascii="Helvetica Neue" w:hAnsi="Helvetica Neue" w:eastAsia="Arial Unicode MS" w:cs="Arial Unicode MS"/>
      <w:color w:val="000000"/>
      <w:kern w:val="0"/>
      <w:sz w:val="24"/>
      <w:szCs w:val="24"/>
      <w:lang w:val="pt-BR" w:eastAsia="zh-CN" w:bidi="hi-IN"/>
      <w14:textOutline w14:cap="flat" w14:cmpd="sng" w14:algn="ctr">
        <w14:noFill/>
        <w14:prstDash w14:val="solid"/>
        <w14:bevel/>
      </w14:textOutline>
    </w:rPr>
  </w:style>
  <w:style w:type="paragraph" w:styleId="Subttulo">
    <w:name w:val="Subtitle"/>
    <w:basedOn w:val="LOnormal1"/>
    <w:next w:val="LOnormal1"/>
    <w:qFormat/>
    <w:pPr>
      <w:keepNext w:val="true"/>
      <w:keepLines/>
      <w:pageBreakBefore w:val="false"/>
      <w:widowControl/>
      <w:shd w:val="clear" w:fill="auto"/>
      <w:spacing w:lineRule="auto" w:line="240" w:before="360" w:after="80"/>
      <w:ind w:left="0" w:right="0" w:hanging="0"/>
      <w:jc w:val="left"/>
    </w:pPr>
    <w:rPr>
      <w:rFonts w:ascii="Georgia" w:hAnsi="Georgia" w:eastAsia="Georgia" w:cs="Georgia"/>
      <w:b w:val="false"/>
      <w:i/>
      <w:caps w:val="false"/>
      <w:smallCaps w:val="false"/>
      <w:strike w:val="false"/>
      <w:dstrike w:val="false"/>
      <w:color w:val="666666"/>
      <w:position w:val="0"/>
      <w:sz w:val="48"/>
      <w:sz w:val="48"/>
      <w:szCs w:val="48"/>
      <w:u w:val="none"/>
      <w:shd w:fill="auto" w:val="clear"/>
      <w:vertAlign w:val="baseline"/>
    </w:rPr>
  </w:style>
  <w:style w:type="paragraph" w:styleId="Quote">
    <w:name w:val="Quote"/>
    <w:basedOn w:val="LOnormal0"/>
    <w:next w:val="LOnormal0"/>
    <w:link w:val="CitaoChar"/>
    <w:uiPriority w:val="29"/>
    <w:qFormat/>
    <w:rsid w:val="3e00dc00"/>
    <w:pPr>
      <w:spacing w:before="200" w:after="0"/>
      <w:ind w:left="864" w:right="864" w:hanging="0"/>
      <w:jc w:val="center"/>
    </w:pPr>
    <w:rPr>
      <w:i/>
      <w:iCs/>
      <w:color w:val="404040" w:themeColor="text1" w:themeTint="bf"/>
    </w:rPr>
  </w:style>
  <w:style w:type="paragraph" w:styleId="IntenseQuote">
    <w:name w:val="Intense Quote"/>
    <w:basedOn w:val="LOnormal0"/>
    <w:next w:val="LOnormal0"/>
    <w:link w:val="CitaoIntensaChar"/>
    <w:uiPriority w:val="30"/>
    <w:qFormat/>
    <w:rsid w:val="3e00dc00"/>
    <w:pPr>
      <w:spacing w:before="360" w:after="360"/>
      <w:ind w:left="864" w:right="864" w:hanging="0"/>
      <w:jc w:val="center"/>
    </w:pPr>
    <w:rPr>
      <w:i/>
      <w:iCs/>
      <w:color w:val="4F81BD" w:themeColor="accent1"/>
    </w:rPr>
  </w:style>
  <w:style w:type="paragraph" w:styleId="ListParagraph">
    <w:name w:val="List Paragraph"/>
    <w:basedOn w:val="LOnormal0"/>
    <w:uiPriority w:val="34"/>
    <w:qFormat/>
    <w:rsid w:val="3e00dc00"/>
    <w:pPr>
      <w:spacing w:before="0" w:after="0"/>
      <w:ind w:left="720" w:hanging="0"/>
      <w:contextualSpacing/>
    </w:pPr>
    <w:rPr/>
  </w:style>
  <w:style w:type="paragraph" w:styleId="Sumrio1">
    <w:name w:val="TOC 1"/>
    <w:basedOn w:val="LOnormal0"/>
    <w:next w:val="LOnormal0"/>
    <w:uiPriority w:val="39"/>
    <w:unhideWhenUsed/>
    <w:rsid w:val="3e00dc00"/>
    <w:pPr>
      <w:spacing w:before="0" w:after="100"/>
    </w:pPr>
    <w:rPr/>
  </w:style>
  <w:style w:type="paragraph" w:styleId="Sumrio2">
    <w:name w:val="TOC 2"/>
    <w:basedOn w:val="LOnormal0"/>
    <w:next w:val="LOnormal0"/>
    <w:uiPriority w:val="39"/>
    <w:unhideWhenUsed/>
    <w:rsid w:val="3e00dc00"/>
    <w:pPr>
      <w:spacing w:before="0" w:after="100"/>
      <w:ind w:left="220" w:hanging="0"/>
    </w:pPr>
    <w:rPr/>
  </w:style>
  <w:style w:type="paragraph" w:styleId="Sumrio3">
    <w:name w:val="TOC 3"/>
    <w:basedOn w:val="LOnormal0"/>
    <w:next w:val="LOnormal0"/>
    <w:uiPriority w:val="39"/>
    <w:unhideWhenUsed/>
    <w:rsid w:val="3e00dc00"/>
    <w:pPr>
      <w:spacing w:before="0" w:after="100"/>
      <w:ind w:left="440" w:hanging="0"/>
    </w:pPr>
    <w:rPr/>
  </w:style>
  <w:style w:type="paragraph" w:styleId="Sumrio4">
    <w:name w:val="TOC 4"/>
    <w:basedOn w:val="LOnormal0"/>
    <w:next w:val="LOnormal0"/>
    <w:uiPriority w:val="39"/>
    <w:unhideWhenUsed/>
    <w:rsid w:val="3e00dc00"/>
    <w:pPr>
      <w:spacing w:before="0" w:after="100"/>
      <w:ind w:left="660" w:hanging="0"/>
    </w:pPr>
    <w:rPr/>
  </w:style>
  <w:style w:type="paragraph" w:styleId="Sumrio5">
    <w:name w:val="TOC 5"/>
    <w:basedOn w:val="LOnormal0"/>
    <w:next w:val="LOnormal0"/>
    <w:uiPriority w:val="39"/>
    <w:unhideWhenUsed/>
    <w:rsid w:val="3e00dc00"/>
    <w:pPr>
      <w:spacing w:before="0" w:after="100"/>
      <w:ind w:left="880" w:hanging="0"/>
    </w:pPr>
    <w:rPr/>
  </w:style>
  <w:style w:type="paragraph" w:styleId="Sumrio6">
    <w:name w:val="TOC 6"/>
    <w:basedOn w:val="LOnormal0"/>
    <w:next w:val="LOnormal0"/>
    <w:uiPriority w:val="39"/>
    <w:unhideWhenUsed/>
    <w:rsid w:val="3e00dc00"/>
    <w:pPr>
      <w:spacing w:before="0" w:after="100"/>
      <w:ind w:left="1100" w:hanging="0"/>
    </w:pPr>
    <w:rPr/>
  </w:style>
  <w:style w:type="paragraph" w:styleId="Sumrio7">
    <w:name w:val="TOC 7"/>
    <w:basedOn w:val="LOnormal0"/>
    <w:next w:val="LOnormal0"/>
    <w:uiPriority w:val="39"/>
    <w:unhideWhenUsed/>
    <w:rsid w:val="3e00dc00"/>
    <w:pPr>
      <w:spacing w:before="0" w:after="100"/>
      <w:ind w:left="1320" w:hanging="0"/>
    </w:pPr>
    <w:rPr/>
  </w:style>
  <w:style w:type="paragraph" w:styleId="Sumrio8">
    <w:name w:val="TOC 8"/>
    <w:basedOn w:val="LOnormal0"/>
    <w:next w:val="LOnormal0"/>
    <w:uiPriority w:val="39"/>
    <w:unhideWhenUsed/>
    <w:rsid w:val="3e00dc00"/>
    <w:pPr>
      <w:spacing w:before="0" w:after="100"/>
      <w:ind w:left="1540" w:hanging="0"/>
    </w:pPr>
    <w:rPr/>
  </w:style>
  <w:style w:type="paragraph" w:styleId="Sumrio9">
    <w:name w:val="TOC 9"/>
    <w:basedOn w:val="LOnormal0"/>
    <w:next w:val="LOnormal0"/>
    <w:uiPriority w:val="39"/>
    <w:unhideWhenUsed/>
    <w:rsid w:val="3e00dc00"/>
    <w:pPr>
      <w:spacing w:before="0" w:after="100"/>
      <w:ind w:left="1760" w:hanging="0"/>
    </w:pPr>
    <w:rPr/>
  </w:style>
  <w:style w:type="paragraph" w:styleId="Notadefim">
    <w:name w:val="Endnote Text"/>
    <w:basedOn w:val="LOnormal0"/>
    <w:link w:val="TextodenotadefimChar"/>
    <w:uiPriority w:val="99"/>
    <w:semiHidden/>
    <w:unhideWhenUsed/>
    <w:rsid w:val="3e00dc00"/>
    <w:pPr/>
    <w:rPr>
      <w:sz w:val="20"/>
      <w:szCs w:val="20"/>
    </w:rPr>
  </w:style>
  <w:style w:type="paragraph" w:styleId="Rodap">
    <w:name w:val="Footer"/>
    <w:basedOn w:val="LOnormal0"/>
    <w:link w:val="RodapChar"/>
    <w:uiPriority w:val="99"/>
    <w:unhideWhenUsed/>
    <w:rsid w:val="3e00dc00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taderodap">
    <w:name w:val="Footnote Text"/>
    <w:basedOn w:val="LOnormal0"/>
    <w:link w:val="TextodenotaderodapChar"/>
    <w:uiPriority w:val="99"/>
    <w:semiHidden/>
    <w:unhideWhenUsed/>
    <w:rsid w:val="3e00dc00"/>
    <w:pPr/>
    <w:rPr>
      <w:sz w:val="20"/>
      <w:szCs w:val="20"/>
    </w:rPr>
  </w:style>
  <w:style w:type="paragraph" w:styleId="Cabealho">
    <w:name w:val="Header"/>
    <w:basedOn w:val="LOnormal0"/>
    <w:link w:val="CabealhoChar"/>
    <w:uiPriority w:val="99"/>
    <w:unhideWhenUsed/>
    <w:rsid w:val="3e00dc00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Annotationtext">
    <w:name w:val="annotation text"/>
    <w:basedOn w:val="LOnormal1"/>
    <w:link w:val="TextodecomentrioChar"/>
    <w:uiPriority w:val="99"/>
    <w:semiHidden/>
    <w:unhideWhenUsed/>
    <w:qFormat/>
    <w:rsid w:val="00934ada"/>
    <w:pPr/>
    <w:rPr>
      <w:rFonts w:cs="Mangal"/>
      <w:sz w:val="20"/>
      <w:szCs w:val="18"/>
    </w:rPr>
  </w:style>
  <w:style w:type="paragraph" w:styleId="Annotationsubject">
    <w:name w:val="annotation subject"/>
    <w:basedOn w:val="Annotationtext"/>
    <w:next w:val="Annotationtext"/>
    <w:link w:val="AssuntodocomentrioChar"/>
    <w:uiPriority w:val="99"/>
    <w:semiHidden/>
    <w:unhideWhenUsed/>
    <w:qFormat/>
    <w:rsid w:val="00934ada"/>
    <w:pPr/>
    <w:rPr>
      <w:b/>
      <w:bCs/>
    </w:rPr>
  </w:style>
  <w:style w:type="paragraph" w:styleId="BalloonText">
    <w:name w:val="Balloon Text"/>
    <w:basedOn w:val="LOnormal1"/>
    <w:link w:val="TextodebaloChar"/>
    <w:uiPriority w:val="99"/>
    <w:semiHidden/>
    <w:unhideWhenUsed/>
    <w:qFormat/>
    <w:rsid w:val="00934ada"/>
    <w:pPr/>
    <w:rPr>
      <w:rFonts w:ascii="Tahoma" w:hAnsi="Tahoma" w:cs="Mangal"/>
      <w:sz w:val="16"/>
      <w:szCs w:val="14"/>
    </w:rPr>
  </w:style>
  <w:style w:type="paragraph" w:styleId="Revision">
    <w:name w:val="Revision"/>
    <w:uiPriority w:val="99"/>
    <w:semiHidden/>
    <w:qFormat/>
    <w:rsid w:val="00272044"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NSimSun" w:cs="Mangal"/>
      <w:color w:val="auto"/>
      <w:kern w:val="0"/>
      <w:sz w:val="24"/>
      <w:szCs w:val="21"/>
      <w:lang w:val="pt-BR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59"/>
    <w:rsid w:val="00fb4123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mailto:jbutzge@hotmail.com" TargetMode="External"/><Relationship Id="rId4" Type="http://schemas.openxmlformats.org/officeDocument/2006/relationships/image" Target="media/image2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HverdNYYV0sXTmibdncunZlWapg==">CgMxLjAyCGguZ2pkZ3hzMg5oLm02dDUwZ3I4bDM3bjIOaC43NHhucGc4a3ExYTQyCWguMzBqMHpsbDIJaC4xZm9iOXRlMgloLjN6bnlzaDc4AHIhMVdLZVZTX01Kem9hQVBoVU03YWJ4TU1RWHdQUDZHSmRf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LibreOffice/7.2.1.2$Windows_X86_64 LibreOffice_project/87b77fad49947c1441b67c559c339af8f3517e22</Application>
  <AppVersion>15.0000</AppVersion>
  <Pages>2</Pages>
  <Words>1246</Words>
  <Characters>7004</Characters>
  <CharactersWithSpaces>8229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2023-10-16T17:25:00Z</dcterms:created>
  <dc:creator>Daniele Kazama</dc:creator>
  <dc:description/>
  <dc:language>pt-BR</dc:language>
  <cp:lastModifiedBy/>
  <dcterms:modified xsi:type="dcterms:W3CDTF">2023-10-23T14:32:14Z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