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ubttulo"/>
        <w:jc w:val="center"/>
        <w:rPr>
          <w:rFonts w:ascii="Arial" w:hAnsi="Arial" w:eastAsia="Arial" w:cs="Arial"/>
          <w:u w:val="none" w:color="000000"/>
          <w:lang w:val="pt-BR"/>
        </w:rPr>
      </w:pPr>
      <w:r>
        <w:rPr>
          <w:rStyle w:val="Normaltextrun"/>
          <w:rFonts w:cs="Arial" w:ascii="Arial" w:hAnsi="Arial"/>
          <w:b/>
          <w:bCs/>
          <w:color w:val="000000"/>
          <w:sz w:val="28"/>
          <w:szCs w:val="28"/>
        </w:rPr>
        <w:t>ESTATÍSTICAS DESCRITIVAS DA DIGESTIBILIDADE DA FDN EM SILAGENS DE MILHO NO NOROESTE GAÚCHO</w:t>
      </w:r>
    </w:p>
    <w:p>
      <w:pPr>
        <w:pStyle w:val="LOnormal"/>
        <w:ind w:right="284" w:hanging="0"/>
        <w:jc w:val="center"/>
        <w:rPr>
          <w:rFonts w:ascii="Arial" w:hAnsi="Arial" w:cs="Arial"/>
          <w:color w:val="000000" w:themeColor="text1"/>
          <w:sz w:val="20"/>
          <w:szCs w:val="20"/>
          <w:lang w:val="pt-BR"/>
        </w:rPr>
      </w:pPr>
      <w:r>
        <w:rPr>
          <w:rFonts w:cs="Arial" w:ascii="Arial" w:hAnsi="Arial"/>
          <w:color w:val="auto"/>
          <w:sz w:val="20"/>
          <w:szCs w:val="20"/>
          <w:u w:val="single"/>
          <w:lang w:val="pt-BR"/>
        </w:rPr>
        <w:t>Giovana Siqueira Giacomelli</w:t>
      </w:r>
      <w:r>
        <w:rPr>
          <w:rFonts w:cs="Arial" w:ascii="Arial" w:hAnsi="Arial"/>
          <w:color w:val="000000" w:themeColor="text1"/>
          <w:sz w:val="20"/>
          <w:szCs w:val="20"/>
          <w:vertAlign w:val="superscript"/>
          <w:lang w:val="pt-BR"/>
        </w:rPr>
        <w:t xml:space="preserve"> 1</w:t>
      </w:r>
      <w:r>
        <w:rPr>
          <w:rFonts w:cs="Arial" w:ascii="Arial" w:hAnsi="Arial"/>
          <w:color w:val="auto"/>
          <w:sz w:val="20"/>
          <w:szCs w:val="20"/>
          <w:lang w:val="pt-BR"/>
        </w:rPr>
        <w:t>, Fabiana Ortiz Melo</w:t>
      </w:r>
      <w:r>
        <w:rPr>
          <w:rFonts w:cs="Arial" w:ascii="Arial" w:hAnsi="Arial"/>
          <w:color w:val="000000" w:themeColor="text1"/>
          <w:sz w:val="20"/>
          <w:szCs w:val="20"/>
          <w:vertAlign w:val="superscript"/>
          <w:lang w:val="pt-BR"/>
        </w:rPr>
        <w:t xml:space="preserve"> 1</w:t>
      </w:r>
      <w:r>
        <w:rPr>
          <w:rFonts w:cs="Arial" w:ascii="Arial" w:hAnsi="Arial"/>
          <w:color w:val="000000" w:themeColor="text1"/>
          <w:sz w:val="20"/>
          <w:szCs w:val="20"/>
          <w:lang w:val="pt-BR"/>
        </w:rPr>
        <w:t>,</w:t>
      </w:r>
      <w:r>
        <w:rPr>
          <w:rFonts w:cs="Arial" w:ascii="Arial" w:hAnsi="Arial"/>
          <w:color w:val="000000" w:themeColor="text1"/>
          <w:sz w:val="20"/>
          <w:szCs w:val="20"/>
          <w:vertAlign w:val="superscript"/>
          <w:lang w:val="pt-BR"/>
        </w:rPr>
        <w:t xml:space="preserve"> </w:t>
      </w:r>
      <w:r>
        <w:rPr>
          <w:rFonts w:cs="Arial" w:ascii="Arial" w:hAnsi="Arial"/>
          <w:color w:val="auto"/>
          <w:sz w:val="20"/>
          <w:szCs w:val="20"/>
          <w:lang w:val="pt-BR"/>
        </w:rPr>
        <w:t>Maria Marina Serrão Cabral</w:t>
      </w:r>
      <w:r>
        <w:rPr>
          <w:rFonts w:cs="Arial" w:ascii="Arial" w:hAnsi="Arial"/>
          <w:color w:val="000000" w:themeColor="text1"/>
          <w:sz w:val="20"/>
          <w:szCs w:val="20"/>
          <w:vertAlign w:val="superscript"/>
          <w:lang w:val="pt-BR"/>
        </w:rPr>
        <w:t xml:space="preserve"> 1</w:t>
      </w:r>
      <w:r>
        <w:rPr>
          <w:rFonts w:cs="Arial" w:ascii="Arial" w:hAnsi="Arial"/>
          <w:color w:val="auto"/>
          <w:sz w:val="20"/>
          <w:szCs w:val="20"/>
          <w:lang w:val="pt-BR"/>
        </w:rPr>
        <w:t>, Ione Maria Pereira Haygert-Velho</w:t>
      </w:r>
      <w:r>
        <w:rPr>
          <w:rFonts w:cs="Arial" w:ascii="Arial" w:hAnsi="Arial"/>
          <w:color w:val="000000" w:themeColor="text1"/>
          <w:sz w:val="20"/>
          <w:szCs w:val="20"/>
          <w:vertAlign w:val="superscript"/>
          <w:lang w:val="pt-BR"/>
        </w:rPr>
        <w:t xml:space="preserve"> 1</w:t>
      </w:r>
      <w:r>
        <w:rPr>
          <w:rFonts w:cs="Arial" w:ascii="Arial" w:hAnsi="Arial"/>
          <w:color w:val="auto"/>
          <w:sz w:val="20"/>
          <w:szCs w:val="20"/>
          <w:lang w:val="pt-BR"/>
        </w:rPr>
        <w:t>, João Pedro Velho</w:t>
      </w:r>
      <w:r>
        <w:rPr>
          <w:rFonts w:cs="Arial" w:ascii="Arial" w:hAnsi="Arial"/>
          <w:color w:val="000000" w:themeColor="text1"/>
          <w:sz w:val="20"/>
          <w:szCs w:val="20"/>
          <w:vertAlign w:val="superscript"/>
          <w:lang w:val="pt-BR"/>
        </w:rPr>
        <w:t xml:space="preserve"> 1</w:t>
      </w:r>
      <w:r>
        <w:rPr>
          <w:rFonts w:cs="Arial" w:ascii="Arial" w:hAnsi="Arial"/>
          <w:color w:val="auto"/>
          <w:sz w:val="20"/>
          <w:szCs w:val="20"/>
          <w:lang w:val="pt-BR"/>
        </w:rPr>
        <w:t>, Fabrício de Oliveira Almeida</w:t>
      </w:r>
      <w:r>
        <w:rPr>
          <w:rFonts w:cs="Arial" w:ascii="Arial" w:hAnsi="Arial"/>
          <w:color w:val="000000" w:themeColor="text1"/>
          <w:sz w:val="20"/>
          <w:szCs w:val="20"/>
          <w:vertAlign w:val="superscript"/>
          <w:lang w:val="pt-BR"/>
        </w:rPr>
        <w:t xml:space="preserve"> 3</w:t>
      </w:r>
    </w:p>
    <w:p>
      <w:pPr>
        <w:pStyle w:val="LOnormal"/>
        <w:ind w:right="284" w:hanging="0"/>
        <w:jc w:val="center"/>
        <w:rPr>
          <w:rFonts w:ascii="Arial" w:hAnsi="Arial" w:cs="Arial"/>
          <w:color w:val="000000" w:themeColor="text1"/>
          <w:sz w:val="20"/>
          <w:szCs w:val="20"/>
          <w:vertAlign w:val="superscript"/>
          <w:lang w:val="pt-BR"/>
        </w:rPr>
      </w:pPr>
      <w:r>
        <w:rPr>
          <w:rFonts w:cs="Arial" w:ascii="Arial" w:hAnsi="Arial"/>
          <w:color w:val="000000" w:themeColor="text1"/>
          <w:sz w:val="20"/>
          <w:szCs w:val="20"/>
          <w:vertAlign w:val="superscript"/>
          <w:lang w:val="pt-BR"/>
        </w:rPr>
      </w:r>
    </w:p>
    <w:p>
      <w:pPr>
        <w:pStyle w:val="LOnormal"/>
        <w:ind w:right="284" w:hanging="0"/>
        <w:jc w:val="center"/>
        <w:rPr>
          <w:rFonts w:ascii="Arial" w:hAnsi="Arial" w:eastAsia="Arial" w:cs="Arial"/>
          <w:color w:val="000000" w:themeColor="text1"/>
          <w:sz w:val="20"/>
          <w:szCs w:val="20"/>
          <w:lang w:val="pt-BR"/>
        </w:rPr>
      </w:pPr>
      <w:r>
        <w:rPr>
          <w:rFonts w:eastAsia="Arial" w:cs="Arial" w:ascii="Arial" w:hAnsi="Arial"/>
          <w:color w:val="000000" w:themeColor="text1"/>
          <w:sz w:val="20"/>
          <w:szCs w:val="20"/>
          <w:vertAlign w:val="superscript"/>
          <w:lang w:val="pt-BR"/>
        </w:rPr>
        <w:t>1</w:t>
      </w:r>
      <w:r>
        <w:rPr>
          <w:rFonts w:eastAsia="Arial" w:cs="Arial" w:ascii="Arial" w:hAnsi="Arial"/>
          <w:color w:val="000000" w:themeColor="text1"/>
          <w:sz w:val="20"/>
          <w:szCs w:val="20"/>
          <w:lang w:val="pt-BR"/>
        </w:rPr>
        <w:t xml:space="preserve"> Universidade Federal de Santa Maria, Curso de Zootecnia, </w:t>
      </w:r>
      <w:r>
        <w:rPr>
          <w:rFonts w:eastAsia="Arial" w:cs="Arial" w:ascii="Arial" w:hAnsi="Arial"/>
          <w:color w:val="000000" w:themeColor="text1"/>
          <w:sz w:val="20"/>
          <w:szCs w:val="20"/>
          <w:vertAlign w:val="superscript"/>
          <w:lang w:val="pt-BR"/>
        </w:rPr>
        <w:t>2</w:t>
      </w:r>
      <w:r>
        <w:rPr>
          <w:rFonts w:eastAsia="Arial" w:cs="Arial" w:ascii="Arial" w:hAnsi="Arial"/>
          <w:color w:val="000000" w:themeColor="text1"/>
          <w:sz w:val="20"/>
          <w:szCs w:val="20"/>
          <w:lang w:val="pt-BR"/>
        </w:rPr>
        <w:t xml:space="preserve"> Universidade Federal de Santa Maria, Departamento de Zootecnia e Ciências Biológicas, </w:t>
      </w:r>
      <w:r>
        <w:rPr>
          <w:rFonts w:eastAsia="Arial" w:cs="Arial" w:ascii="Arial" w:hAnsi="Arial"/>
          <w:color w:val="000000" w:themeColor="text1"/>
          <w:sz w:val="20"/>
          <w:szCs w:val="20"/>
          <w:vertAlign w:val="superscript"/>
          <w:lang w:val="pt-BR"/>
        </w:rPr>
        <w:t xml:space="preserve">3 </w:t>
      </w:r>
      <w:r>
        <w:rPr>
          <w:rFonts w:eastAsia="Arial" w:cs="Arial" w:ascii="Arial" w:hAnsi="Arial"/>
          <w:color w:val="000000" w:themeColor="text1"/>
          <w:sz w:val="20"/>
          <w:szCs w:val="20"/>
          <w:lang w:val="pt-BR"/>
        </w:rPr>
        <w:t>Agrotech Soluções Agrícolas</w:t>
      </w:r>
    </w:p>
    <w:p>
      <w:pPr>
        <w:pStyle w:val="LOnormal"/>
        <w:ind w:right="284" w:hanging="0"/>
        <w:jc w:val="center"/>
        <w:rPr>
          <w:rFonts w:ascii="Arial" w:hAnsi="Arial" w:eastAsia="Arial" w:cs="Arial"/>
          <w:color w:val="000000"/>
          <w:sz w:val="22"/>
          <w:szCs w:val="22"/>
          <w:lang w:val="pt-BR"/>
        </w:rPr>
      </w:pPr>
      <w:r>
        <w:rPr>
          <w:rFonts w:cs="Arial" w:ascii="Arial" w:hAnsi="Arial"/>
          <w:color w:val="000000" w:themeColor="text1"/>
          <w:sz w:val="20"/>
          <w:szCs w:val="20"/>
          <w:lang w:val="pt-BR"/>
        </w:rPr>
        <w:t>E-mail: giovana.zoot@gmail.com</w:t>
      </w:r>
    </w:p>
    <w:p>
      <w:pPr>
        <w:pStyle w:val="LOnormal"/>
        <w:ind w:right="284" w:hanging="0"/>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Contribuição para a sociedade</w:t>
      </w:r>
      <w:r>
        <w:rPr>
          <w:rFonts w:cs="Arial" w:ascii="Arial" w:hAnsi="Arial"/>
          <w:color w:val="000000"/>
          <w:sz w:val="22"/>
          <w:szCs w:val="22"/>
          <w:u w:val="none" w:color="000000"/>
          <w:lang w:val="pt-BR"/>
        </w:rPr>
        <w:t xml:space="preserve">: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 xml:space="preserve">A ingestão de matéria seca-MS é o principal limitante de produção, uma alta indigestibilidade da fibra em detergente neutro-FDN reduz o consumo de MS por questões de limitação física do rúmem. O conhecimento da digestibilidade da FDN auxilia na previsão da digestibilidade total da forragem e sobre os percentuais de nutrientes digestíveis totais, uma vez que, as variações na digestibilidade da FDN afetam na contribuição energética da FDN na dieta, para mais, há uma correlação positiva entre digestibilidade e ingestão de MS, resultando em um aumento da produtividade. Logo, conhecendo a digestibilidade da FDN pode-se estimar o real valor nutritivo da forragem, proporcionando um balanceamento de dietas assertivas e com maior aproveitamento do alimento ingerido, tornando a cadeia produtiva mais sustentável e viável, garantindo a entrega de produtos em quantidade e de qualidade a seus consumidores finais.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Palavras-chave</w:t>
      </w:r>
      <w:r>
        <w:rPr>
          <w:rFonts w:cs="Arial" w:ascii="Arial" w:hAnsi="Arial"/>
          <w:color w:val="000000"/>
          <w:sz w:val="22"/>
          <w:szCs w:val="22"/>
          <w:u w:val="none" w:color="000000"/>
          <w:lang w:val="pt-BR"/>
        </w:rPr>
        <w:t>: Consumo, Matéria Seca, Nutrientes.</w:t>
      </w:r>
    </w:p>
    <w:p>
      <w:pPr>
        <w:pStyle w:val="LOnormal"/>
        <w:jc w:val="both"/>
        <w:rPr>
          <w:rFonts w:ascii="Arial" w:hAnsi="Arial" w:cs="Arial"/>
          <w:color w:val="000000"/>
          <w:sz w:val="22"/>
          <w:szCs w:val="22"/>
          <w:u w:val="none" w:color="000000"/>
          <w:lang w:val="pt-BR"/>
        </w:rPr>
      </w:pPr>
      <w:r>
        <w:rPr>
          <w:rFonts w:cs="Arial" w:ascii="Arial" w:hAnsi="Arial"/>
          <w:color w:val="000000"/>
          <w:sz w:val="22"/>
          <w:szCs w:val="22"/>
          <w:u w:val="none" w:color="000000"/>
          <w:lang w:val="pt-BR"/>
        </w:rPr>
      </w:r>
    </w:p>
    <w:p>
      <w:pPr>
        <w:pStyle w:val="LOnormal"/>
        <w:jc w:val="both"/>
        <w:rPr>
          <w:rFonts w:ascii="Arial" w:hAnsi="Arial" w:cs="Arial"/>
          <w:b/>
          <w:b/>
          <w:bCs/>
          <w:color w:val="000000"/>
          <w:sz w:val="22"/>
          <w:szCs w:val="22"/>
          <w:u w:val="none" w:color="000000"/>
          <w:lang w:val="pt-BR"/>
        </w:rPr>
      </w:pPr>
      <w:r>
        <w:rPr>
          <w:rFonts w:cs="Arial" w:ascii="Arial" w:hAnsi="Arial"/>
          <w:b/>
          <w:bCs/>
          <w:color w:val="000000"/>
          <w:sz w:val="22"/>
          <w:szCs w:val="22"/>
          <w:u w:val="none" w:color="000000"/>
          <w:lang w:val="pt-BR"/>
        </w:rPr>
        <w:t xml:space="preserve">Introdução: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 xml:space="preserve">A fibra em detergente neutro-FDN é composta pela fibra em detergente ácido (FDA) (celulose e lignina) e hemicelulose. O conhecimento da digestibilidade da FDN auxilia na previsão da digestibilidade total da forragem, em que a digestibilidade influencia os percentuais de nutrientes digestíveis totais. Pesquisas apontam ainda que o aumento na digestibilidade aumenta a ingestão de matéria seca em vacas leiteiras </w:t>
      </w:r>
      <w:sdt>
        <w:sdtPr>
          <w:id w:val="134084521"/>
        </w:sdtPr>
        <w:sdtContent>
          <w:r>
            <w:rPr>
              <w:rFonts w:eastAsia="Arial" w:cs="Arial" w:ascii="Arial" w:hAnsi="Arial"/>
              <w:color w:val="000000"/>
              <w:sz w:val="22"/>
              <w:szCs w:val="22"/>
              <w:u w:val="none" w:color="000000"/>
              <w:lang w:val="pt-BR"/>
            </w:rPr>
            <w:t>(HUTJENS, 2018)</w:t>
          </w:r>
        </w:sdtContent>
      </w:sdt>
      <w:r>
        <w:rPr>
          <w:rFonts w:eastAsia="Arial" w:cs="Arial" w:ascii="Arial" w:hAnsi="Arial"/>
          <w:color w:val="000000"/>
          <w:sz w:val="22"/>
          <w:szCs w:val="22"/>
          <w:u w:val="none" w:color="000000"/>
          <w:lang w:val="pt-BR"/>
        </w:rPr>
        <w:t>.</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 xml:space="preserve">A digestibilidade da silagem de milho pode variar conforme o estágio de maturidade na colheita e com o híbrido utilizado. Híbridos de nervura central marrom apresentam digestibilidade da FDN alta. Além disso, a digestibilidade da FDN pode variar com o clima, pois plantas que se desenvolvem em ambientes mais frios tendem a apresentar maior digestibilidade quando comparadas a plantas de clima quente. Outro aspecto a ser considerado é o manejo com plantas cultivadas em alta densidade apresentando menor digestibilidade da FDN </w:t>
      </w:r>
      <w:sdt>
        <w:sdtPr>
          <w:id w:val="417480031"/>
        </w:sdtPr>
        <w:sdtContent>
          <w:r>
            <w:rPr>
              <w:rFonts w:eastAsia="Arial" w:cs="Arial" w:ascii="Arial" w:hAnsi="Arial"/>
              <w:color w:val="000000"/>
              <w:sz w:val="22"/>
              <w:szCs w:val="22"/>
              <w:u w:val="none" w:color="000000"/>
              <w:lang w:val="pt-BR"/>
            </w:rPr>
            <w:t>(HOFFMAN et al., 2001)</w:t>
          </w:r>
        </w:sdtContent>
      </w:sdt>
      <w:r>
        <w:rPr>
          <w:rFonts w:eastAsia="Arial" w:cs="Arial" w:ascii="Arial" w:hAnsi="Arial"/>
          <w:color w:val="000000"/>
          <w:sz w:val="22"/>
          <w:szCs w:val="22"/>
          <w:u w:val="none" w:color="000000"/>
          <w:lang w:val="pt-BR"/>
        </w:rPr>
        <w:t>.</w:t>
      </w:r>
      <w:r>
        <w:rPr>
          <w:rFonts w:eastAsia="Arial" w:cs="Arial" w:ascii="Arial" w:hAnsi="Arial"/>
          <w:color w:val="000000"/>
          <w:sz w:val="22"/>
          <w:szCs w:val="22"/>
          <w:u w:val="none" w:color="000000"/>
          <w:lang w:val="pt-BR"/>
        </w:rPr>
        <w:t xml:space="preserve"> </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 xml:space="preserve">Segundo </w:t>
      </w:r>
      <w:sdt>
        <w:sdtPr>
          <w:id w:val="1598085297"/>
        </w:sdtPr>
        <w:sdtContent>
          <w:r>
            <w:rPr>
              <w:rFonts w:eastAsia="Arial" w:cs="Arial" w:ascii="Arial" w:hAnsi="Arial"/>
              <w:color w:val="000000"/>
              <w:sz w:val="22"/>
              <w:szCs w:val="22"/>
              <w:u w:val="none" w:color="000000"/>
              <w:lang w:val="pt-BR"/>
            </w:rPr>
            <w:t>HUTJENS (2018)</w:t>
          </w:r>
        </w:sdtContent>
      </w:sdt>
      <w:r>
        <w:rPr>
          <w:rFonts w:eastAsia="Arial" w:cs="Arial" w:ascii="Arial" w:hAnsi="Arial"/>
          <w:color w:val="000000"/>
          <w:sz w:val="22"/>
          <w:szCs w:val="22"/>
          <w:u w:val="none" w:color="000000"/>
          <w:lang w:val="pt-BR"/>
        </w:rPr>
        <w:t xml:space="preserve"> considera</w:t>
      </w:r>
      <w:r>
        <w:rPr>
          <w:rFonts w:eastAsia="Arial" w:cs="Arial" w:ascii="Arial" w:hAnsi="Arial"/>
          <w:color w:val="000000"/>
          <w:sz w:val="22"/>
          <w:szCs w:val="22"/>
          <w:u w:val="none" w:color="000000"/>
          <w:lang w:val="pt-BR"/>
        </w:rPr>
        <w:t>m-se três períodos de tempos para análises, para silagens de milho. O teste de 24 horas pode ser utilizado em razão da rápida degradação do amido e das partículas da forragem que se apresentam em menor tamanho, o teste de 30 horas reproduz o tempo normal de retenção da forragem no trato digestível, já o teste de 48 horas expressa a digestibilidade máxima da fibra.</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t xml:space="preserve">Ao ocorrerem variações na digestibilidade da FDN também ocorre variações na contribuição energética da FDN na dieta </w:t>
      </w:r>
      <w:sdt>
        <w:sdtPr>
          <w:id w:val="1936387965"/>
        </w:sdtPr>
        <w:sdtContent>
          <w:r>
            <w:rPr>
              <w:rFonts w:eastAsia="Arial" w:cs="Arial" w:ascii="Arial" w:hAnsi="Arial"/>
              <w:color w:val="000000"/>
              <w:sz w:val="22"/>
              <w:szCs w:val="22"/>
              <w:u w:val="none" w:color="000000"/>
              <w:lang w:val="pt-BR"/>
            </w:rPr>
            <w:t>(HOFFMAN et al., 2007)</w:t>
          </w:r>
        </w:sdtContent>
      </w:sdt>
      <w:r>
        <w:rPr>
          <w:rFonts w:eastAsia="Arial" w:cs="Arial" w:ascii="Arial" w:hAnsi="Arial"/>
          <w:color w:val="000000"/>
          <w:sz w:val="22"/>
          <w:szCs w:val="22"/>
          <w:u w:val="none" w:color="000000"/>
          <w:lang w:val="pt-BR"/>
        </w:rPr>
        <w:t>.</w:t>
      </w:r>
      <w:r>
        <w:rPr>
          <w:rFonts w:eastAsia="Arial" w:cs="Arial" w:ascii="Arial" w:hAnsi="Arial"/>
          <w:color w:val="000000"/>
          <w:sz w:val="22"/>
          <w:szCs w:val="22"/>
          <w:u w:val="none" w:color="000000"/>
          <w:lang w:val="pt-BR"/>
        </w:rPr>
        <w:t xml:space="preserve"> Para tal, é de suma importância, para o balanceamento de dietas, o conhecimento de base ao real valor nutritivo das forragens utilizadas. Logo, objetivou-se descrever os valores de digestibilidade da fibra e detergente neutro de silagens de milho utilizadas no Noroeste Gaúcho.</w:t>
      </w:r>
    </w:p>
    <w:p>
      <w:pPr>
        <w:pStyle w:val="LOnormal"/>
        <w:ind w:firstLine="720"/>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r>
        <w:br w:type="page"/>
      </w:r>
    </w:p>
    <w:p>
      <w:pPr>
        <w:pStyle w:val="LOnormal"/>
        <w:jc w:val="both"/>
        <w:rPr>
          <w:rFonts w:ascii="Arial" w:hAnsi="Arial" w:cs="Arial"/>
          <w:color w:val="000000"/>
          <w:sz w:val="22"/>
          <w:szCs w:val="22"/>
          <w:u w:val="none" w:color="000000"/>
          <w:lang w:val="pt-BR"/>
        </w:rPr>
      </w:pPr>
      <w:bookmarkStart w:id="0" w:name="_headingh.30j0zll"/>
      <w:bookmarkEnd w:id="0"/>
      <w:r>
        <w:rPr>
          <w:rFonts w:cs="Arial" w:ascii="Arial" w:hAnsi="Arial"/>
          <w:b/>
          <w:bCs/>
          <w:color w:val="000000"/>
          <w:sz w:val="22"/>
          <w:szCs w:val="22"/>
          <w:u w:val="none" w:color="000000"/>
          <w:lang w:val="pt-BR"/>
        </w:rPr>
        <w:t>Material e métodos:</w:t>
      </w:r>
      <w:r>
        <w:rPr>
          <w:rFonts w:cs="Arial" w:ascii="Arial" w:hAnsi="Arial"/>
          <w:color w:val="000000"/>
          <w:sz w:val="22"/>
          <w:szCs w:val="22"/>
          <w:u w:val="none" w:color="000000"/>
          <w:lang w:val="pt-BR"/>
        </w:rPr>
        <w:t xml:space="preserve"> </w:t>
      </w:r>
    </w:p>
    <w:p>
      <w:pPr>
        <w:pStyle w:val="LOnormal"/>
        <w:spacing w:lineRule="auto" w:line="259"/>
        <w:jc w:val="both"/>
        <w:rPr>
          <w:rFonts w:ascii="Arial" w:hAnsi="Arial" w:cs="Arial"/>
          <w:color w:val="000000" w:themeColor="text1"/>
          <w:sz w:val="22"/>
          <w:szCs w:val="22"/>
          <w:lang w:val="pt-BR"/>
        </w:rPr>
      </w:pPr>
      <w:r>
        <w:rPr>
          <w:rFonts w:cs="Arial" w:ascii="Arial" w:hAnsi="Arial"/>
          <w:color w:val="000000"/>
          <w:sz w:val="22"/>
          <w:szCs w:val="22"/>
          <w:lang w:val="pt-BR"/>
        </w:rPr>
        <w:t>Foram coletadas 44 amostras de silagens de milho de planta inteira pela equipe técnica da empresa Agrotech Soluções Agrícolas, oriundas de silos trincheira, silo superfície e silo bola, dos quais as silagens estavam sendo utilizadas para alimentação de bovinos de leite e corte durante os anos de 2022 e 2023.</w:t>
      </w:r>
      <w:r>
        <w:rPr>
          <w:rFonts w:eastAsia="Times New Roman" w:cs="Arial" w:ascii="Arial" w:hAnsi="Arial"/>
          <w:color w:val="000000"/>
          <w:sz w:val="22"/>
          <w:szCs w:val="22"/>
          <w:lang w:val="pt-BR"/>
        </w:rPr>
        <w:t xml:space="preserve"> Nos silos trincheira e silo superfície coletou-se 6 pontos, sendo 3 pontos na região inferior e três na região superior de cada silo, em seguida foi realizado o quarteamento das subamostras para formar a amostra padrão de cada silo a ser enviada ao laboratório, já no silo bola realizamos as coletas através de 1 ponto, de profundidade de 0 a 40 cm com o auxílio de uma furadeira e um tubo de coleta.</w:t>
      </w:r>
      <w:r>
        <w:rPr>
          <w:rFonts w:cs="Arial" w:ascii="Arial" w:hAnsi="Arial"/>
          <w:color w:val="000000"/>
          <w:sz w:val="22"/>
          <w:szCs w:val="22"/>
          <w:lang w:val="pt-BR"/>
        </w:rPr>
        <w:t xml:space="preserve"> Os municípios que fazem parte das amostras são: Almirante Tamandaré, Boa Vista das Missões, Cerro Grande, Chapada, Dois Irmãos das Missões, Erval Seco e Palmeira das Missões As amostras foram analisadas por laboratório terceirizado através do método </w:t>
      </w:r>
      <w:r>
        <w:rPr>
          <w:rFonts w:eastAsia="Arial" w:cs="Arial" w:ascii="Arial" w:hAnsi="Arial"/>
          <w:color w:val="000000"/>
          <w:sz w:val="22"/>
          <w:szCs w:val="22"/>
          <w:lang w:val="pt-BR"/>
        </w:rPr>
        <w:t>Near Infrared Spectroscopy- NIRS</w:t>
      </w:r>
      <w:r>
        <w:rPr>
          <w:rFonts w:cs="Arial" w:ascii="Arial" w:hAnsi="Arial"/>
          <w:color w:val="000000"/>
          <w:sz w:val="22"/>
          <w:szCs w:val="22"/>
          <w:lang w:val="pt-BR"/>
        </w:rPr>
        <w:t xml:space="preserve">. A digestibilidade da FDN foi avaliada a partir dos dados de </w:t>
      </w:r>
      <w:r>
        <w:rPr>
          <w:rFonts w:eastAsia="Times New Roman" w:cs="Arial" w:ascii="Arial" w:hAnsi="Arial"/>
          <w:color w:val="000000"/>
          <w:sz w:val="22"/>
          <w:szCs w:val="22"/>
          <w:u w:val="none" w:color="000000"/>
          <w:lang w:val="pt-BR"/>
        </w:rPr>
        <w:t>Matéria Seca (MS), Fibra em Detergente Neutro (FDN), digestibilidade da FDN método tradicional (dFDNt) em 30 e 48 horas, digestibilidade total da FDN livre de cinzas (</w:t>
      </w:r>
      <w:r>
        <w:rPr>
          <w:rFonts w:eastAsia="Times New Roman" w:cs="Arial" w:ascii="Arial" w:hAnsi="Arial"/>
          <w:color w:val="000000"/>
          <w:sz w:val="20"/>
          <w:szCs w:val="20"/>
          <w:lang w:val="pt-BR"/>
        </w:rPr>
        <w:t>dFDNtmo)</w:t>
      </w:r>
      <w:r>
        <w:rPr>
          <w:rFonts w:eastAsia="Times New Roman" w:cs="Arial" w:ascii="Arial" w:hAnsi="Arial"/>
          <w:color w:val="000000"/>
          <w:sz w:val="22"/>
          <w:szCs w:val="22"/>
          <w:u w:val="none" w:color="000000"/>
          <w:lang w:val="pt-BR"/>
        </w:rPr>
        <w:t xml:space="preserve"> em 30 horas, digestibilidade da FDN método padronizado (dFDNp) em 24, 30 e 48 horas e indigestibilidade da FDN (uFDN) em 30 horas. </w:t>
      </w:r>
      <w:r>
        <w:rPr>
          <w:rFonts w:cs="Arial" w:ascii="Arial" w:hAnsi="Arial"/>
          <w:color w:val="000000"/>
          <w:sz w:val="22"/>
          <w:szCs w:val="22"/>
          <w:lang w:val="pt-BR"/>
        </w:rPr>
        <w:t>Os resultados das análises foram tabulados em planilha Excel® para facilitar a realização da análise estatística descritiva pelo software MiniTab®.</w:t>
      </w:r>
      <w:bookmarkStart w:id="1" w:name="_Hlk147168468"/>
      <w:bookmarkEnd w:id="1"/>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Resultados e discussões:</w:t>
      </w:r>
      <w:r>
        <w:rPr>
          <w:rFonts w:cs="Arial" w:ascii="Arial" w:hAnsi="Arial"/>
          <w:color w:val="000000"/>
          <w:sz w:val="22"/>
          <w:szCs w:val="22"/>
          <w:u w:val="none" w:color="000000"/>
          <w:lang w:val="pt-BR"/>
        </w:rPr>
        <w:t xml:space="preserve"> </w:t>
      </w:r>
    </w:p>
    <w:p>
      <w:pPr>
        <w:pStyle w:val="LOnormal"/>
        <w:jc w:val="both"/>
        <w:rPr>
          <w:rFonts w:ascii="Arial" w:hAnsi="Arial" w:eastAsia="Times New Roman" w:cs="Arial"/>
          <w:color w:val="000000"/>
          <w:sz w:val="22"/>
          <w:szCs w:val="22"/>
          <w:u w:val="none" w:color="000000"/>
          <w:lang w:val="pt-BR"/>
        </w:rPr>
      </w:pPr>
      <w:r>
        <w:rPr>
          <w:rFonts w:eastAsia="Times New Roman" w:cs="Arial" w:ascii="Arial" w:hAnsi="Arial"/>
          <w:color w:val="000000"/>
          <w:sz w:val="22"/>
          <w:szCs w:val="22"/>
          <w:u w:val="none" w:color="000000"/>
          <w:lang w:val="pt-BR"/>
        </w:rPr>
        <w:t xml:space="preserve">Os valores de FDN (Tabela 1) possibilitam discutir a variação entre mínimo e máximo, onde estes valores estão distantes do recomendado pelo </w:t>
      </w:r>
      <w:sdt>
        <w:sdtPr>
          <w:id w:val="1147498799"/>
        </w:sdtPr>
        <w:sdtContent>
          <w:r>
            <w:rPr>
              <w:rFonts w:eastAsia="Times New Roman" w:cs="Arial" w:ascii="Arial" w:hAnsi="Arial"/>
              <w:color w:val="000000"/>
              <w:sz w:val="22"/>
              <w:szCs w:val="22"/>
              <w:u w:val="none" w:color="000000"/>
              <w:lang w:val="pt-BR"/>
            </w:rPr>
            <w:t>NASEM (2021)</w:t>
          </w:r>
        </w:sdtContent>
      </w:sdt>
      <w:r>
        <w:rPr>
          <w:rFonts w:eastAsia="Times New Roman" w:cs="Arial" w:ascii="Arial" w:hAnsi="Arial"/>
          <w:color w:val="000000"/>
          <w:sz w:val="22"/>
          <w:szCs w:val="22"/>
          <w:u w:val="none" w:color="000000"/>
          <w:lang w:val="pt-BR"/>
        </w:rPr>
        <w:t xml:space="preserve"> que é de 39,3</w:t>
      </w:r>
      <w:r>
        <w:rPr>
          <w:rFonts w:eastAsia="Times New Roman" w:cs="Arial" w:ascii="Arial" w:hAnsi="Arial"/>
          <w:color w:val="000000"/>
          <w:sz w:val="22"/>
          <w:szCs w:val="22"/>
          <w:u w:val="none" w:color="000000"/>
          <w:lang w:val="pt-BR"/>
        </w:rPr>
        <w:t>0%, demostrando que algumas silagens ensiladas estavam em estádio fora do recomendado, porém em decorrência dos déficit hídricos que ocorreram na região durante o período houve a necessidade da utilização desta forragem.</w:t>
      </w:r>
    </w:p>
    <w:p>
      <w:pPr>
        <w:pStyle w:val="LOnormal"/>
        <w:spacing w:before="240" w:after="120"/>
        <w:ind w:left="20" w:hanging="0"/>
        <w:jc w:val="both"/>
        <w:rPr>
          <w:rFonts w:ascii="Arial" w:hAnsi="Arial" w:eastAsia="Arial" w:cs="Arial"/>
          <w:b/>
          <w:b/>
          <w:bCs/>
          <w:color w:val="000000"/>
          <w:sz w:val="20"/>
          <w:szCs w:val="20"/>
          <w:u w:val="none" w:color="000000"/>
          <w:lang w:val="pt-BR"/>
        </w:rPr>
      </w:pPr>
      <w:r>
        <w:rPr>
          <w:rFonts w:cs="Arial" w:ascii="Arial" w:hAnsi="Arial"/>
          <w:b/>
          <w:bCs/>
          <w:color w:val="000000"/>
          <w:sz w:val="20"/>
          <w:szCs w:val="20"/>
          <w:u w:val="none" w:color="000000"/>
          <w:lang w:val="pt-BR"/>
        </w:rPr>
        <w:t xml:space="preserve">Tabela 1. Digestibilidade </w:t>
      </w:r>
      <w:r>
        <w:rPr>
          <w:rFonts w:cs="Arial" w:ascii="Arial" w:hAnsi="Arial"/>
          <w:b/>
          <w:bCs/>
          <w:i/>
          <w:color w:val="000000"/>
          <w:sz w:val="20"/>
          <w:szCs w:val="20"/>
          <w:u w:val="none" w:color="000000"/>
          <w:lang w:val="pt-BR"/>
        </w:rPr>
        <w:t>in vitro</w:t>
      </w:r>
      <w:r>
        <w:rPr>
          <w:rFonts w:cs="Arial" w:ascii="Arial" w:hAnsi="Arial"/>
          <w:b/>
          <w:bCs/>
          <w:color w:val="000000"/>
          <w:sz w:val="20"/>
          <w:szCs w:val="20"/>
          <w:u w:val="none" w:color="000000"/>
          <w:lang w:val="pt-BR"/>
        </w:rPr>
        <w:t xml:space="preserve"> da Fibra em Detergente Neutro em diferentes tempos de incubação.</w:t>
      </w:r>
    </w:p>
    <w:tbl>
      <w:tblPr>
        <w:tblStyle w:val="TableNormal"/>
        <w:tblW w:w="9092" w:type="dxa"/>
        <w:jc w:val="center"/>
        <w:tblInd w:w="0" w:type="dxa"/>
        <w:tblLayout w:type="fixed"/>
        <w:tblCellMar>
          <w:top w:w="0" w:type="dxa"/>
          <w:left w:w="0" w:type="dxa"/>
          <w:bottom w:w="0" w:type="dxa"/>
          <w:right w:w="0" w:type="dxa"/>
        </w:tblCellMar>
        <w:tblLook w:firstRow="1" w:noVBand="1" w:lastRow="0" w:firstColumn="1" w:lastColumn="0" w:noHBand="0" w:val="04a0"/>
      </w:tblPr>
      <w:tblGrid>
        <w:gridCol w:w="2126"/>
        <w:gridCol w:w="424"/>
        <w:gridCol w:w="852"/>
        <w:gridCol w:w="851"/>
        <w:gridCol w:w="967"/>
        <w:gridCol w:w="960"/>
        <w:gridCol w:w="1130"/>
        <w:gridCol w:w="1641"/>
      </w:tblGrid>
      <w:tr>
        <w:trPr>
          <w:trHeight w:val="286" w:hRule="atLeast"/>
        </w:trPr>
        <w:tc>
          <w:tcPr>
            <w:tcW w:w="2126" w:type="dxa"/>
            <w:tcBorders>
              <w:top w:val="single" w:sz="4" w:space="0" w:color="000000"/>
              <w:bottom w:val="single" w:sz="4" w:space="0" w:color="000000"/>
            </w:tcBorders>
            <w:vAlign w:val="center"/>
          </w:tcPr>
          <w:p>
            <w:pPr>
              <w:pStyle w:val="Normal"/>
              <w:widowControl/>
              <w:pBdr/>
              <w:spacing w:before="0" w:after="0"/>
              <w:jc w:val="center"/>
              <w:rPr>
                <w:rFonts w:ascii="Arial" w:hAnsi="Arial" w:eastAsia="Times New Roman" w:cs="Arial"/>
                <w:b/>
                <w:b/>
                <w:bCs/>
                <w:color w:val="000000"/>
                <w:sz w:val="20"/>
                <w:szCs w:val="20"/>
                <w:lang w:val="pt-BR" w:eastAsia="pt-BR"/>
              </w:rPr>
            </w:pPr>
            <w:r>
              <w:rPr>
                <w:rFonts w:eastAsia="Times New Roman" w:cs="Arial" w:ascii="Arial" w:hAnsi="Arial"/>
                <w:b/>
                <w:bCs/>
                <w:color w:val="000000"/>
                <w:kern w:val="0"/>
                <w:sz w:val="20"/>
                <w:szCs w:val="20"/>
                <w:lang w:val="pt-BR" w:eastAsia="pt-BR" w:bidi="ar-SA"/>
              </w:rPr>
              <w:t>VARIÁVEL</w:t>
            </w:r>
          </w:p>
        </w:tc>
        <w:tc>
          <w:tcPr>
            <w:tcW w:w="424" w:type="dxa"/>
            <w:tcBorders>
              <w:top w:val="single" w:sz="4" w:space="0" w:color="000000"/>
              <w:bottom w:val="single" w:sz="4" w:space="0" w:color="000000"/>
            </w:tcBorders>
            <w:vAlign w:val="center"/>
          </w:tcPr>
          <w:p>
            <w:pPr>
              <w:pStyle w:val="Normal"/>
              <w:widowControl/>
              <w:pBdr/>
              <w:spacing w:before="0" w:after="0"/>
              <w:jc w:val="center"/>
              <w:rPr>
                <w:rFonts w:ascii="Arial" w:hAnsi="Arial" w:eastAsia="Times New Roman" w:cs="Arial"/>
                <w:b/>
                <w:b/>
                <w:bCs/>
                <w:color w:val="000000"/>
                <w:sz w:val="20"/>
                <w:szCs w:val="20"/>
                <w:lang w:val="pt-BR" w:eastAsia="pt-BR"/>
              </w:rPr>
            </w:pPr>
            <w:r>
              <w:rPr>
                <w:rFonts w:eastAsia="Times New Roman" w:cs="Arial" w:ascii="Arial" w:hAnsi="Arial"/>
                <w:b/>
                <w:bCs/>
                <w:color w:val="000000"/>
                <w:kern w:val="0"/>
                <w:sz w:val="20"/>
                <w:szCs w:val="20"/>
                <w:lang w:val="pt-BR" w:eastAsia="pt-BR" w:bidi="ar-SA"/>
              </w:rPr>
              <w:t>N</w:t>
            </w:r>
          </w:p>
        </w:tc>
        <w:tc>
          <w:tcPr>
            <w:tcW w:w="852" w:type="dxa"/>
            <w:tcBorders>
              <w:top w:val="single" w:sz="4" w:space="0" w:color="000000"/>
              <w:bottom w:val="single" w:sz="4" w:space="0" w:color="000000"/>
            </w:tcBorders>
            <w:vAlign w:val="center"/>
          </w:tcPr>
          <w:p>
            <w:pPr>
              <w:pStyle w:val="Normal"/>
              <w:widowControl/>
              <w:pBdr/>
              <w:spacing w:before="0" w:after="0"/>
              <w:jc w:val="center"/>
              <w:rPr>
                <w:rFonts w:ascii="Arial" w:hAnsi="Arial" w:eastAsia="Times New Roman" w:cs="Arial"/>
                <w:b/>
                <w:b/>
                <w:bCs/>
                <w:color w:val="000000"/>
                <w:sz w:val="20"/>
                <w:szCs w:val="20"/>
                <w:lang w:val="pt-BR" w:eastAsia="pt-BR"/>
              </w:rPr>
            </w:pPr>
            <w:r>
              <w:rPr>
                <w:rFonts w:eastAsia="Times New Roman" w:cs="Arial" w:ascii="Arial" w:hAnsi="Arial"/>
                <w:b/>
                <w:bCs/>
                <w:color w:val="000000"/>
                <w:kern w:val="0"/>
                <w:sz w:val="20"/>
                <w:szCs w:val="20"/>
                <w:lang w:val="pt-BR" w:eastAsia="pt-BR" w:bidi="ar-SA"/>
              </w:rPr>
              <w:t>MÍNIMO</w:t>
            </w:r>
          </w:p>
        </w:tc>
        <w:tc>
          <w:tcPr>
            <w:tcW w:w="851" w:type="dxa"/>
            <w:tcBorders>
              <w:top w:val="single" w:sz="4" w:space="0" w:color="000000"/>
              <w:bottom w:val="single" w:sz="4" w:space="0" w:color="000000"/>
            </w:tcBorders>
            <w:vAlign w:val="center"/>
          </w:tcPr>
          <w:p>
            <w:pPr>
              <w:pStyle w:val="Normal"/>
              <w:widowControl/>
              <w:pBdr/>
              <w:spacing w:before="0" w:after="0"/>
              <w:jc w:val="center"/>
              <w:rPr>
                <w:rFonts w:ascii="Arial" w:hAnsi="Arial" w:eastAsia="Times New Roman" w:cs="Arial"/>
                <w:b/>
                <w:b/>
                <w:bCs/>
                <w:color w:val="000000"/>
                <w:sz w:val="20"/>
                <w:szCs w:val="20"/>
                <w:lang w:val="pt-BR" w:eastAsia="pt-BR"/>
              </w:rPr>
            </w:pPr>
            <w:r>
              <w:rPr>
                <w:rFonts w:eastAsia="Times New Roman" w:cs="Arial" w:ascii="Arial" w:hAnsi="Arial"/>
                <w:b/>
                <w:bCs/>
                <w:color w:val="000000"/>
                <w:kern w:val="0"/>
                <w:sz w:val="20"/>
                <w:szCs w:val="20"/>
                <w:lang w:val="pt-BR" w:eastAsia="pt-BR" w:bidi="ar-SA"/>
              </w:rPr>
              <w:t>MÉDIA</w:t>
            </w:r>
          </w:p>
        </w:tc>
        <w:tc>
          <w:tcPr>
            <w:tcW w:w="967" w:type="dxa"/>
            <w:tcBorders>
              <w:top w:val="single" w:sz="4" w:space="0" w:color="000000"/>
              <w:bottom w:val="single" w:sz="4" w:space="0" w:color="000000"/>
            </w:tcBorders>
            <w:vAlign w:val="center"/>
          </w:tcPr>
          <w:p>
            <w:pPr>
              <w:pStyle w:val="Normal"/>
              <w:widowControl/>
              <w:pBdr/>
              <w:spacing w:before="0" w:after="0"/>
              <w:jc w:val="center"/>
              <w:rPr>
                <w:rFonts w:ascii="Arial" w:hAnsi="Arial" w:eastAsia="Times New Roman" w:cs="Arial"/>
                <w:b/>
                <w:b/>
                <w:bCs/>
                <w:color w:val="000000"/>
                <w:sz w:val="20"/>
                <w:szCs w:val="20"/>
                <w:lang w:val="pt-BR" w:eastAsia="pt-BR"/>
              </w:rPr>
            </w:pPr>
            <w:r>
              <w:rPr>
                <w:rFonts w:eastAsia="Times New Roman" w:cs="Arial" w:ascii="Arial" w:hAnsi="Arial"/>
                <w:b/>
                <w:bCs/>
                <w:color w:val="000000"/>
                <w:kern w:val="0"/>
                <w:sz w:val="20"/>
                <w:szCs w:val="20"/>
                <w:lang w:val="pt-BR" w:eastAsia="pt-BR" w:bidi="ar-SA"/>
              </w:rPr>
              <w:t>MÁXIMO</w:t>
            </w:r>
          </w:p>
        </w:tc>
        <w:tc>
          <w:tcPr>
            <w:tcW w:w="960" w:type="dxa"/>
            <w:tcBorders>
              <w:top w:val="single" w:sz="4" w:space="0" w:color="000000"/>
              <w:bottom w:val="single" w:sz="4" w:space="0" w:color="000000"/>
            </w:tcBorders>
            <w:vAlign w:val="center"/>
          </w:tcPr>
          <w:p>
            <w:pPr>
              <w:pStyle w:val="Normal"/>
              <w:widowControl/>
              <w:pBdr/>
              <w:spacing w:before="0" w:after="0"/>
              <w:jc w:val="center"/>
              <w:rPr>
                <w:rFonts w:ascii="Arial" w:hAnsi="Arial" w:eastAsia="Times New Roman" w:cs="Arial"/>
                <w:b/>
                <w:b/>
                <w:bCs/>
                <w:color w:val="000000"/>
                <w:sz w:val="20"/>
                <w:szCs w:val="20"/>
                <w:lang w:val="pt-BR" w:eastAsia="pt-BR"/>
              </w:rPr>
            </w:pPr>
            <w:r>
              <w:rPr>
                <w:rFonts w:eastAsia="Times New Roman" w:cs="Arial" w:ascii="Arial" w:hAnsi="Arial"/>
                <w:b/>
                <w:bCs/>
                <w:color w:val="000000"/>
                <w:kern w:val="0"/>
                <w:sz w:val="20"/>
                <w:szCs w:val="20"/>
                <w:lang w:val="pt-BR" w:eastAsia="pt-BR" w:bidi="ar-SA"/>
              </w:rPr>
              <w:t>ERRO</w:t>
            </w:r>
          </w:p>
          <w:p>
            <w:pPr>
              <w:pStyle w:val="Normal"/>
              <w:widowControl/>
              <w:pBdr/>
              <w:spacing w:before="0" w:after="0"/>
              <w:jc w:val="center"/>
              <w:rPr>
                <w:rFonts w:ascii="Arial" w:hAnsi="Arial" w:eastAsia="Times New Roman" w:cs="Arial"/>
                <w:b/>
                <w:b/>
                <w:bCs/>
                <w:color w:val="000000"/>
                <w:sz w:val="20"/>
                <w:szCs w:val="20"/>
                <w:lang w:val="pt-BR" w:eastAsia="pt-BR"/>
              </w:rPr>
            </w:pPr>
            <w:r>
              <w:rPr>
                <w:rFonts w:eastAsia="Times New Roman" w:cs="Arial" w:ascii="Arial" w:hAnsi="Arial"/>
                <w:b/>
                <w:bCs/>
                <w:color w:val="000000"/>
                <w:kern w:val="0"/>
                <w:sz w:val="20"/>
                <w:szCs w:val="20"/>
                <w:lang w:val="pt-BR" w:eastAsia="pt-BR" w:bidi="ar-SA"/>
              </w:rPr>
              <w:t>PADRÃO MÉDIO</w:t>
            </w:r>
          </w:p>
        </w:tc>
        <w:tc>
          <w:tcPr>
            <w:tcW w:w="1130" w:type="dxa"/>
            <w:tcBorders>
              <w:top w:val="single" w:sz="4" w:space="0" w:color="000000"/>
              <w:bottom w:val="single" w:sz="4" w:space="0" w:color="000000"/>
            </w:tcBorders>
            <w:vAlign w:val="center"/>
          </w:tcPr>
          <w:p>
            <w:pPr>
              <w:pStyle w:val="Normal"/>
              <w:widowControl/>
              <w:pBdr/>
              <w:spacing w:before="0" w:after="0"/>
              <w:jc w:val="center"/>
              <w:rPr>
                <w:rFonts w:ascii="Arial" w:hAnsi="Arial" w:eastAsia="Times New Roman" w:cs="Arial"/>
                <w:b/>
                <w:b/>
                <w:bCs/>
                <w:color w:val="000000"/>
                <w:sz w:val="20"/>
                <w:szCs w:val="20"/>
                <w:lang w:val="pt-BR" w:eastAsia="pt-BR"/>
              </w:rPr>
            </w:pPr>
            <w:r>
              <w:rPr>
                <w:rFonts w:eastAsia="Times New Roman" w:cs="Arial" w:ascii="Arial" w:hAnsi="Arial"/>
                <w:b/>
                <w:color w:val="000000"/>
                <w:kern w:val="0"/>
                <w:sz w:val="20"/>
                <w:szCs w:val="20"/>
                <w:lang w:eastAsia="pt-BR" w:bidi="ar-SA"/>
              </w:rPr>
              <w:t>MEDIANA</w:t>
            </w:r>
          </w:p>
        </w:tc>
        <w:tc>
          <w:tcPr>
            <w:tcW w:w="1641" w:type="dxa"/>
            <w:tcBorders>
              <w:top w:val="single" w:sz="4" w:space="0" w:color="000000"/>
              <w:bottom w:val="single" w:sz="4" w:space="0" w:color="000000"/>
            </w:tcBorders>
            <w:vAlign w:val="center"/>
          </w:tcPr>
          <w:p>
            <w:pPr>
              <w:pStyle w:val="Normal"/>
              <w:widowControl/>
              <w:pBdr/>
              <w:spacing w:before="0" w:after="0"/>
              <w:jc w:val="center"/>
              <w:rPr>
                <w:rFonts w:ascii="Arial" w:hAnsi="Arial" w:eastAsia="Times New Roman" w:cs="Arial"/>
                <w:b/>
                <w:b/>
                <w:bCs/>
                <w:color w:val="000000"/>
                <w:sz w:val="20"/>
                <w:szCs w:val="20"/>
                <w:lang w:val="pt-BR" w:eastAsia="pt-BR"/>
              </w:rPr>
            </w:pPr>
            <w:r>
              <w:rPr>
                <w:rFonts w:eastAsia="Times New Roman" w:cs="Arial" w:ascii="Arial" w:hAnsi="Arial"/>
                <w:b/>
                <w:color w:val="000000"/>
                <w:kern w:val="0"/>
                <w:sz w:val="20"/>
                <w:szCs w:val="20"/>
                <w:lang w:eastAsia="pt-BR" w:bidi="ar-SA"/>
              </w:rPr>
              <w:t>COEFICIENTE DE VARIAÇÃO</w:t>
            </w:r>
          </w:p>
        </w:tc>
      </w:tr>
      <w:tr>
        <w:trPr>
          <w:trHeight w:val="286" w:hRule="atLeast"/>
        </w:trPr>
        <w:tc>
          <w:tcPr>
            <w:tcW w:w="2126" w:type="dxa"/>
            <w:tcBorders>
              <w:top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MATÉRIA SECA (%MN)</w:t>
            </w:r>
          </w:p>
        </w:tc>
        <w:tc>
          <w:tcPr>
            <w:tcW w:w="424" w:type="dxa"/>
            <w:tcBorders>
              <w:top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44</w:t>
            </w:r>
          </w:p>
        </w:tc>
        <w:tc>
          <w:tcPr>
            <w:tcW w:w="852" w:type="dxa"/>
            <w:tcBorders>
              <w:top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22,750</w:t>
            </w:r>
          </w:p>
        </w:tc>
        <w:tc>
          <w:tcPr>
            <w:tcW w:w="851" w:type="dxa"/>
            <w:tcBorders>
              <w:top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37,752</w:t>
            </w:r>
          </w:p>
        </w:tc>
        <w:tc>
          <w:tcPr>
            <w:tcW w:w="967" w:type="dxa"/>
            <w:tcBorders>
              <w:top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49,640</w:t>
            </w:r>
          </w:p>
        </w:tc>
        <w:tc>
          <w:tcPr>
            <w:tcW w:w="960" w:type="dxa"/>
            <w:tcBorders>
              <w:top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0,932</w:t>
            </w:r>
          </w:p>
        </w:tc>
        <w:tc>
          <w:tcPr>
            <w:tcW w:w="1130" w:type="dxa"/>
            <w:tcBorders>
              <w:top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37,72</w:t>
            </w:r>
          </w:p>
        </w:tc>
        <w:tc>
          <w:tcPr>
            <w:tcW w:w="1641" w:type="dxa"/>
            <w:tcBorders>
              <w:top w:val="single" w:sz="4" w:space="0" w:color="000000"/>
            </w:tcBorders>
            <w:vAlign w:val="center"/>
          </w:tcPr>
          <w:p>
            <w:pPr>
              <w:pStyle w:val="Normal"/>
              <w:widowControl/>
              <w:spacing w:before="90" w:after="0"/>
              <w:jc w:val="center"/>
              <w:rPr>
                <w:rFonts w:ascii="Arial" w:hAnsi="Arial" w:eastAsia="Times New Roman" w:cs="Arial"/>
                <w:sz w:val="20"/>
                <w:szCs w:val="20"/>
                <w:lang w:val="pt-BR" w:eastAsia="pt-BR"/>
              </w:rPr>
            </w:pPr>
            <w:r>
              <w:rPr>
                <w:rFonts w:eastAsia="Times New Roman" w:cs="Arial" w:ascii="Arial" w:hAnsi="Arial"/>
                <w:kern w:val="0"/>
                <w:sz w:val="20"/>
                <w:szCs w:val="20"/>
                <w:lang w:val="pt-BR" w:eastAsia="pt-BR" w:bidi="ar-SA"/>
              </w:rPr>
              <w:t>16,38</w:t>
            </w:r>
          </w:p>
        </w:tc>
      </w:tr>
      <w:tr>
        <w:trPr>
          <w:trHeight w:val="286" w:hRule="atLeast"/>
        </w:trPr>
        <w:tc>
          <w:tcPr>
            <w:tcW w:w="2126"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FDN (%MS)</w:t>
            </w:r>
          </w:p>
        </w:tc>
        <w:tc>
          <w:tcPr>
            <w:tcW w:w="424"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43</w:t>
            </w:r>
          </w:p>
        </w:tc>
        <w:tc>
          <w:tcPr>
            <w:tcW w:w="852"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29,190</w:t>
            </w:r>
          </w:p>
        </w:tc>
        <w:tc>
          <w:tcPr>
            <w:tcW w:w="85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47,030</w:t>
            </w:r>
          </w:p>
        </w:tc>
        <w:tc>
          <w:tcPr>
            <w:tcW w:w="967"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57,030</w:t>
            </w:r>
          </w:p>
        </w:tc>
        <w:tc>
          <w:tcPr>
            <w:tcW w:w="96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1,000</w:t>
            </w:r>
          </w:p>
        </w:tc>
        <w:tc>
          <w:tcPr>
            <w:tcW w:w="113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47,32</w:t>
            </w:r>
          </w:p>
        </w:tc>
        <w:tc>
          <w:tcPr>
            <w:tcW w:w="164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13,99</w:t>
            </w:r>
          </w:p>
        </w:tc>
      </w:tr>
      <w:tr>
        <w:trPr>
          <w:trHeight w:val="286" w:hRule="atLeast"/>
        </w:trPr>
        <w:tc>
          <w:tcPr>
            <w:tcW w:w="2126"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dFDNt 30h (%FDN)</w:t>
            </w:r>
          </w:p>
        </w:tc>
        <w:tc>
          <w:tcPr>
            <w:tcW w:w="424"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43</w:t>
            </w:r>
          </w:p>
        </w:tc>
        <w:tc>
          <w:tcPr>
            <w:tcW w:w="852"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45,640</w:t>
            </w:r>
          </w:p>
        </w:tc>
        <w:tc>
          <w:tcPr>
            <w:tcW w:w="85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56,906</w:t>
            </w:r>
          </w:p>
        </w:tc>
        <w:tc>
          <w:tcPr>
            <w:tcW w:w="967"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66,220</w:t>
            </w:r>
          </w:p>
        </w:tc>
        <w:tc>
          <w:tcPr>
            <w:tcW w:w="96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0,650</w:t>
            </w:r>
          </w:p>
        </w:tc>
        <w:tc>
          <w:tcPr>
            <w:tcW w:w="113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57,10</w:t>
            </w:r>
          </w:p>
        </w:tc>
        <w:tc>
          <w:tcPr>
            <w:tcW w:w="164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7,49</w:t>
            </w:r>
          </w:p>
        </w:tc>
      </w:tr>
      <w:tr>
        <w:trPr>
          <w:trHeight w:val="286" w:hRule="atLeast"/>
        </w:trPr>
        <w:tc>
          <w:tcPr>
            <w:tcW w:w="2126"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dFDNt 48h (%FDN)</w:t>
            </w:r>
          </w:p>
        </w:tc>
        <w:tc>
          <w:tcPr>
            <w:tcW w:w="424"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43</w:t>
            </w:r>
          </w:p>
        </w:tc>
        <w:tc>
          <w:tcPr>
            <w:tcW w:w="852"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52,710</w:t>
            </w:r>
          </w:p>
        </w:tc>
        <w:tc>
          <w:tcPr>
            <w:tcW w:w="85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61,299</w:t>
            </w:r>
          </w:p>
        </w:tc>
        <w:tc>
          <w:tcPr>
            <w:tcW w:w="967"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74,310</w:t>
            </w:r>
          </w:p>
        </w:tc>
        <w:tc>
          <w:tcPr>
            <w:tcW w:w="96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0,658</w:t>
            </w:r>
          </w:p>
        </w:tc>
        <w:tc>
          <w:tcPr>
            <w:tcW w:w="113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60,61</w:t>
            </w:r>
          </w:p>
        </w:tc>
        <w:tc>
          <w:tcPr>
            <w:tcW w:w="164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7,03</w:t>
            </w:r>
          </w:p>
        </w:tc>
      </w:tr>
      <w:tr>
        <w:trPr>
          <w:trHeight w:val="286" w:hRule="atLeast"/>
        </w:trPr>
        <w:tc>
          <w:tcPr>
            <w:tcW w:w="2126"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dFDNtmo 30h (%FDN)</w:t>
            </w:r>
          </w:p>
        </w:tc>
        <w:tc>
          <w:tcPr>
            <w:tcW w:w="424"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43</w:t>
            </w:r>
          </w:p>
        </w:tc>
        <w:tc>
          <w:tcPr>
            <w:tcW w:w="852"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38,000</w:t>
            </w:r>
          </w:p>
        </w:tc>
        <w:tc>
          <w:tcPr>
            <w:tcW w:w="85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59,371</w:t>
            </w:r>
          </w:p>
        </w:tc>
        <w:tc>
          <w:tcPr>
            <w:tcW w:w="967"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69,190</w:t>
            </w:r>
          </w:p>
        </w:tc>
        <w:tc>
          <w:tcPr>
            <w:tcW w:w="96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0,798</w:t>
            </w:r>
          </w:p>
        </w:tc>
        <w:tc>
          <w:tcPr>
            <w:tcW w:w="113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59,75</w:t>
            </w:r>
          </w:p>
        </w:tc>
        <w:tc>
          <w:tcPr>
            <w:tcW w:w="164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8,81</w:t>
            </w:r>
          </w:p>
        </w:tc>
      </w:tr>
      <w:tr>
        <w:trPr>
          <w:trHeight w:val="286" w:hRule="atLeast"/>
        </w:trPr>
        <w:tc>
          <w:tcPr>
            <w:tcW w:w="2126"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dFDNp 24h (%FDN)</w:t>
            </w:r>
          </w:p>
        </w:tc>
        <w:tc>
          <w:tcPr>
            <w:tcW w:w="424"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43</w:t>
            </w:r>
          </w:p>
        </w:tc>
        <w:tc>
          <w:tcPr>
            <w:tcW w:w="852"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19,170</w:t>
            </w:r>
          </w:p>
        </w:tc>
        <w:tc>
          <w:tcPr>
            <w:tcW w:w="85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30,244</w:t>
            </w:r>
          </w:p>
        </w:tc>
        <w:tc>
          <w:tcPr>
            <w:tcW w:w="967"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46,120</w:t>
            </w:r>
          </w:p>
        </w:tc>
        <w:tc>
          <w:tcPr>
            <w:tcW w:w="96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0,764</w:t>
            </w:r>
          </w:p>
        </w:tc>
        <w:tc>
          <w:tcPr>
            <w:tcW w:w="113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30,28</w:t>
            </w:r>
          </w:p>
        </w:tc>
        <w:tc>
          <w:tcPr>
            <w:tcW w:w="164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16,57</w:t>
            </w:r>
          </w:p>
        </w:tc>
      </w:tr>
      <w:tr>
        <w:trPr>
          <w:trHeight w:val="286" w:hRule="atLeast"/>
        </w:trPr>
        <w:tc>
          <w:tcPr>
            <w:tcW w:w="2126"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dFDNp 30h (%FDN)</w:t>
            </w:r>
          </w:p>
        </w:tc>
        <w:tc>
          <w:tcPr>
            <w:tcW w:w="424"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43</w:t>
            </w:r>
          </w:p>
        </w:tc>
        <w:tc>
          <w:tcPr>
            <w:tcW w:w="852"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29,300</w:t>
            </w:r>
          </w:p>
        </w:tc>
        <w:tc>
          <w:tcPr>
            <w:tcW w:w="85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38,119</w:t>
            </w:r>
          </w:p>
        </w:tc>
        <w:tc>
          <w:tcPr>
            <w:tcW w:w="967"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61,450</w:t>
            </w:r>
          </w:p>
        </w:tc>
        <w:tc>
          <w:tcPr>
            <w:tcW w:w="96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0,851</w:t>
            </w:r>
          </w:p>
        </w:tc>
        <w:tc>
          <w:tcPr>
            <w:tcW w:w="113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37,63</w:t>
            </w:r>
          </w:p>
        </w:tc>
        <w:tc>
          <w:tcPr>
            <w:tcW w:w="164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14,64</w:t>
            </w:r>
          </w:p>
        </w:tc>
      </w:tr>
      <w:tr>
        <w:trPr>
          <w:trHeight w:val="286" w:hRule="atLeast"/>
        </w:trPr>
        <w:tc>
          <w:tcPr>
            <w:tcW w:w="2126"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dFDNp 48h (%FDN)</w:t>
            </w:r>
          </w:p>
        </w:tc>
        <w:tc>
          <w:tcPr>
            <w:tcW w:w="424"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43</w:t>
            </w:r>
          </w:p>
        </w:tc>
        <w:tc>
          <w:tcPr>
            <w:tcW w:w="852"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38,860</w:t>
            </w:r>
          </w:p>
        </w:tc>
        <w:tc>
          <w:tcPr>
            <w:tcW w:w="85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51,160</w:t>
            </w:r>
          </w:p>
        </w:tc>
        <w:tc>
          <w:tcPr>
            <w:tcW w:w="967"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61,450</w:t>
            </w:r>
          </w:p>
        </w:tc>
        <w:tc>
          <w:tcPr>
            <w:tcW w:w="96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0,719</w:t>
            </w:r>
          </w:p>
        </w:tc>
        <w:tc>
          <w:tcPr>
            <w:tcW w:w="1130"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51,21</w:t>
            </w:r>
          </w:p>
        </w:tc>
        <w:tc>
          <w:tcPr>
            <w:tcW w:w="1641" w:type="dxa"/>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9,21</w:t>
            </w:r>
          </w:p>
        </w:tc>
      </w:tr>
      <w:tr>
        <w:trPr>
          <w:trHeight w:val="286" w:hRule="atLeast"/>
        </w:trPr>
        <w:tc>
          <w:tcPr>
            <w:tcW w:w="2126" w:type="dxa"/>
            <w:tcBorders>
              <w:bottom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uFDN 30h (%MS)</w:t>
            </w:r>
          </w:p>
        </w:tc>
        <w:tc>
          <w:tcPr>
            <w:tcW w:w="424" w:type="dxa"/>
            <w:tcBorders>
              <w:bottom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43</w:t>
            </w:r>
          </w:p>
        </w:tc>
        <w:tc>
          <w:tcPr>
            <w:tcW w:w="852" w:type="dxa"/>
            <w:tcBorders>
              <w:bottom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11,640</w:t>
            </w:r>
          </w:p>
        </w:tc>
        <w:tc>
          <w:tcPr>
            <w:tcW w:w="851" w:type="dxa"/>
            <w:tcBorders>
              <w:bottom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20,312</w:t>
            </w:r>
          </w:p>
        </w:tc>
        <w:tc>
          <w:tcPr>
            <w:tcW w:w="967" w:type="dxa"/>
            <w:tcBorders>
              <w:bottom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26,110</w:t>
            </w:r>
          </w:p>
        </w:tc>
        <w:tc>
          <w:tcPr>
            <w:tcW w:w="960" w:type="dxa"/>
            <w:tcBorders>
              <w:bottom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color w:val="000000"/>
                <w:kern w:val="0"/>
                <w:sz w:val="20"/>
                <w:szCs w:val="20"/>
                <w:lang w:val="pt-BR" w:eastAsia="pt-BR" w:bidi="ar-SA"/>
              </w:rPr>
              <w:t>0,559</w:t>
            </w:r>
          </w:p>
        </w:tc>
        <w:tc>
          <w:tcPr>
            <w:tcW w:w="1130" w:type="dxa"/>
            <w:tcBorders>
              <w:bottom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20,49</w:t>
            </w:r>
          </w:p>
        </w:tc>
        <w:tc>
          <w:tcPr>
            <w:tcW w:w="1641" w:type="dxa"/>
            <w:tcBorders>
              <w:bottom w:val="single" w:sz="4" w:space="0" w:color="000000"/>
            </w:tcBorders>
            <w:vAlign w:val="center"/>
          </w:tcPr>
          <w:p>
            <w:pPr>
              <w:pStyle w:val="Normal"/>
              <w:widowControl/>
              <w:pBdr/>
              <w:spacing w:before="0" w:after="0"/>
              <w:jc w:val="center"/>
              <w:rPr>
                <w:rFonts w:ascii="Arial" w:hAnsi="Arial" w:eastAsia="Times New Roman" w:cs="Arial"/>
                <w:color w:val="000000"/>
                <w:sz w:val="20"/>
                <w:szCs w:val="20"/>
                <w:lang w:val="pt-BR" w:eastAsia="pt-BR"/>
              </w:rPr>
            </w:pPr>
            <w:r>
              <w:rPr>
                <w:rFonts w:eastAsia="Times New Roman" w:cs="Arial" w:ascii="Arial" w:hAnsi="Arial"/>
                <w:kern w:val="0"/>
                <w:sz w:val="20"/>
                <w:szCs w:val="20"/>
                <w:lang w:val="pt-BR" w:eastAsia="pt-BR" w:bidi="ar-SA"/>
              </w:rPr>
              <w:t>18,05</w:t>
            </w:r>
          </w:p>
        </w:tc>
      </w:tr>
    </w:tbl>
    <w:p>
      <w:pPr>
        <w:pStyle w:val="LOnormal"/>
        <w:spacing w:before="240" w:after="240"/>
        <w:jc w:val="both"/>
        <w:rPr>
          <w:rFonts w:ascii="Arial" w:hAnsi="Arial" w:cs="Arial"/>
          <w:bCs/>
          <w:color w:val="000000"/>
          <w:sz w:val="20"/>
          <w:szCs w:val="20"/>
          <w:u w:val="none" w:color="000000"/>
          <w:lang w:val="pt-BR"/>
        </w:rPr>
      </w:pPr>
      <w:r>
        <w:rPr>
          <w:rFonts w:cs="Arial" w:ascii="Arial" w:hAnsi="Arial"/>
          <w:bCs/>
          <w:color w:val="000000"/>
          <w:sz w:val="20"/>
          <w:szCs w:val="20"/>
          <w:u w:val="none" w:color="000000"/>
          <w:lang w:val="pt-BR"/>
        </w:rPr>
        <w:t>*MN= matéria natural</w:t>
      </w:r>
    </w:p>
    <w:p>
      <w:pPr>
        <w:pStyle w:val="LOnormal"/>
        <w:spacing w:before="240" w:after="240"/>
        <w:jc w:val="both"/>
        <w:rPr>
          <w:rFonts w:ascii="Arial" w:hAnsi="Arial" w:cs="Arial"/>
          <w:b/>
          <w:b/>
          <w:bCs/>
          <w:color w:val="000000"/>
          <w:sz w:val="20"/>
          <w:szCs w:val="20"/>
          <w:u w:val="none" w:color="000000"/>
          <w:lang w:val="pt-BR"/>
        </w:rPr>
      </w:pPr>
      <w:r>
        <w:rPr>
          <w:rFonts w:cs="Arial" w:ascii="Arial" w:hAnsi="Arial"/>
          <w:b/>
          <w:bCs/>
          <w:color w:val="000000"/>
          <w:sz w:val="20"/>
          <w:szCs w:val="20"/>
          <w:u w:val="none" w:color="000000"/>
          <w:lang w:val="pt-BR"/>
        </w:rPr>
        <w:t>Fonte: Elaborada pelos autores.</w:t>
      </w:r>
    </w:p>
    <w:p>
      <w:pPr>
        <w:pStyle w:val="LOnormal"/>
        <w:jc w:val="both"/>
        <w:rPr>
          <w:rFonts w:ascii="Arial" w:hAnsi="Arial" w:cs="Arial"/>
          <w:bCs/>
          <w:color w:val="000000"/>
          <w:sz w:val="22"/>
          <w:szCs w:val="22"/>
          <w:u w:val="none" w:color="000000"/>
          <w:lang w:val="pt-BR"/>
        </w:rPr>
      </w:pPr>
      <w:sdt>
        <w:sdtPr>
          <w:id w:val="1205834072"/>
        </w:sdtPr>
        <w:sdtContent>
          <w:r>
            <w:rPr>
              <w:rFonts w:cs="Arial" w:ascii="Arial" w:hAnsi="Arial"/>
              <w:bCs/>
              <w:color w:val="000000"/>
              <w:sz w:val="22"/>
              <w:szCs w:val="22"/>
              <w:u w:val="none" w:color="000000"/>
              <w:lang w:val="pt-BR"/>
            </w:rPr>
            <w:t>Hoffman et al. (2001)</w:t>
          </w:r>
        </w:sdtContent>
      </w:sdt>
      <w:r>
        <w:rPr>
          <w:rFonts w:cs="Arial" w:ascii="Arial" w:hAnsi="Arial"/>
          <w:bCs/>
          <w:color w:val="000000"/>
          <w:sz w:val="22"/>
          <w:szCs w:val="22"/>
          <w:u w:val="none" w:color="000000"/>
          <w:lang w:val="pt-BR"/>
        </w:rPr>
        <w:t xml:space="preserve"> </w:t>
      </w:r>
      <w:r>
        <w:rPr>
          <w:rFonts w:cs="Arial" w:ascii="Arial" w:hAnsi="Arial"/>
          <w:bCs/>
          <w:color w:val="000000"/>
          <w:sz w:val="22"/>
          <w:szCs w:val="22"/>
          <w:u w:val="none" w:color="000000"/>
          <w:lang w:val="pt-BR"/>
        </w:rPr>
        <w:t xml:space="preserve">consideram os teores encontrados nas amostras (dFDNt 48h= 61,29) bons. Assim como </w:t>
      </w:r>
      <w:sdt>
        <w:sdtPr>
          <w:id w:val="1371624094"/>
        </w:sdtPr>
        <w:sdtContent>
          <w:r>
            <w:rPr>
              <w:rFonts w:cs="Arial" w:ascii="Arial" w:hAnsi="Arial"/>
              <w:bCs/>
              <w:color w:val="000000"/>
              <w:sz w:val="22"/>
              <w:szCs w:val="22"/>
              <w:u w:val="none" w:color="000000"/>
              <w:lang w:val="pt-BR"/>
            </w:rPr>
            <w:t>Hoffman et al. (2007)</w:t>
          </w:r>
        </w:sdtContent>
      </w:sdt>
      <w:r>
        <w:rPr>
          <w:rFonts w:cs="Arial" w:ascii="Arial" w:hAnsi="Arial"/>
          <w:bCs/>
          <w:color w:val="000000"/>
          <w:sz w:val="22"/>
          <w:szCs w:val="22"/>
          <w:u w:val="none" w:color="000000"/>
          <w:lang w:val="pt-BR"/>
        </w:rPr>
        <w:t xml:space="preserve"> classificam teores de digestibilidade da FDN em 30 </w:t>
      </w:r>
      <w:r>
        <w:rPr>
          <w:rFonts w:cs="Arial" w:ascii="Arial" w:hAnsi="Arial"/>
          <w:bCs/>
          <w:color w:val="000000"/>
          <w:sz w:val="22"/>
          <w:szCs w:val="22"/>
          <w:u w:val="none" w:color="000000"/>
          <w:lang w:val="pt-BR"/>
        </w:rPr>
        <w:t>horas como baixo (&lt;43,7% até 48%), médio (de 48% até 52,3%) e alto (&gt;52,3) e para 48 horas em baixo (&lt; 54% até 58,9%), médio (de 58,9% até 63,8%) e alto (&gt; 63,8).</w:t>
      </w:r>
    </w:p>
    <w:p>
      <w:pPr>
        <w:pStyle w:val="LOnormal"/>
        <w:jc w:val="both"/>
        <w:rPr>
          <w:rFonts w:ascii="Arial" w:hAnsi="Arial" w:cs="Arial"/>
          <w:bCs/>
          <w:color w:val="000000"/>
          <w:sz w:val="22"/>
          <w:szCs w:val="22"/>
          <w:u w:val="none" w:color="000000"/>
          <w:lang w:val="pt-BR"/>
        </w:rPr>
      </w:pPr>
      <w:sdt>
        <w:sdtPr>
          <w:id w:val="2027987627"/>
        </w:sdtPr>
        <w:sdtContent>
          <w:r>
            <w:rPr>
              <w:rFonts w:cs="Arial" w:ascii="Arial" w:hAnsi="Arial"/>
              <w:bCs/>
              <w:color w:val="000000"/>
              <w:sz w:val="22"/>
              <w:szCs w:val="22"/>
              <w:u w:val="none" w:color="000000"/>
              <w:lang w:val="pt-BR"/>
            </w:rPr>
            <w:t>Qiu</w:t>
          </w:r>
          <w:r>
            <w:rPr>
              <w:rFonts w:cs="Arial" w:ascii="Arial" w:hAnsi="Arial"/>
              <w:bCs/>
              <w:color w:val="000000"/>
              <w:sz w:val="22"/>
              <w:szCs w:val="22"/>
              <w:u w:val="none" w:color="000000"/>
              <w:lang w:val="pt-BR"/>
            </w:rPr>
            <w:t xml:space="preserve"> et al. (2003)</w:t>
          </w:r>
        </w:sdtContent>
      </w:sdt>
      <w:r>
        <w:rPr>
          <w:rFonts w:cs="Arial" w:ascii="Arial" w:hAnsi="Arial"/>
          <w:bCs/>
          <w:color w:val="000000"/>
          <w:sz w:val="22"/>
          <w:szCs w:val="22"/>
          <w:u w:val="none" w:color="000000"/>
          <w:lang w:val="pt-BR"/>
        </w:rPr>
        <w:t xml:space="preserve"> em seus trabalhos comparando diferentes híbridos e suas digestibilidades encontraram valores de </w:t>
      </w:r>
      <w:r>
        <w:rPr>
          <w:rFonts w:cs="Arial" w:ascii="Arial" w:hAnsi="Arial"/>
          <w:bCs/>
          <w:color w:val="000000"/>
          <w:sz w:val="22"/>
          <w:szCs w:val="22"/>
          <w:u w:val="none" w:color="000000"/>
          <w:lang w:val="pt-BR"/>
        </w:rPr>
        <w:t xml:space="preserve">uFDN em 72h (33,3%, 31,7%, 38,5%, 42,6%) acima do valor médio encontrado nas amostras em 30 horas (20,31%), salienta-se que um dos híbridos utilizados na pesquisa de </w:t>
      </w:r>
      <w:sdt>
        <w:sdtPr>
          <w:id w:val="1072914549"/>
        </w:sdtPr>
        <w:sdtContent>
          <w:r>
            <w:rPr>
              <w:rFonts w:cs="Arial" w:ascii="Arial" w:hAnsi="Arial"/>
              <w:bCs/>
              <w:color w:val="000000"/>
              <w:sz w:val="22"/>
              <w:szCs w:val="22"/>
              <w:u w:val="none" w:color="000000"/>
              <w:lang w:val="pt-BR"/>
            </w:rPr>
            <w:t>Qiu</w:t>
          </w:r>
          <w:r>
            <w:rPr>
              <w:rFonts w:cs="Arial" w:ascii="Arial" w:hAnsi="Arial"/>
              <w:bCs/>
              <w:color w:val="000000"/>
              <w:sz w:val="22"/>
              <w:szCs w:val="22"/>
              <w:u w:val="none" w:color="000000"/>
              <w:lang w:val="pt-BR"/>
            </w:rPr>
            <w:t xml:space="preserve"> et al. (2003)</w:t>
          </w:r>
        </w:sdtContent>
      </w:sdt>
      <w:r>
        <w:rPr>
          <w:rFonts w:cs="Arial" w:ascii="Arial" w:hAnsi="Arial"/>
          <w:bCs/>
          <w:color w:val="000000"/>
          <w:sz w:val="22"/>
          <w:szCs w:val="22"/>
          <w:u w:val="none" w:color="000000"/>
          <w:lang w:val="pt-BR"/>
        </w:rPr>
        <w:t xml:space="preserve"> é de nervura </w:t>
      </w:r>
      <w:r>
        <w:rPr>
          <w:rFonts w:cs="Arial" w:ascii="Arial" w:hAnsi="Arial"/>
          <w:bCs/>
          <w:color w:val="000000"/>
          <w:sz w:val="22"/>
          <w:szCs w:val="22"/>
          <w:u w:val="none" w:color="000000"/>
          <w:lang w:val="pt-BR"/>
        </w:rPr>
        <w:t xml:space="preserve">central marrom. </w:t>
      </w:r>
      <w:sdt>
        <w:sdtPr>
          <w:id w:val="1802459066"/>
        </w:sdtPr>
        <w:sdtContent>
          <w:r>
            <w:rPr>
              <w:rFonts w:cs="Arial" w:ascii="Arial" w:hAnsi="Arial"/>
              <w:bCs/>
              <w:color w:val="000000"/>
              <w:sz w:val="22"/>
              <w:szCs w:val="22"/>
              <w:u w:val="none" w:color="000000"/>
              <w:lang w:val="pt-BR"/>
            </w:rPr>
            <w:t>HUTJENS (2018)</w:t>
          </w:r>
        </w:sdtContent>
      </w:sdt>
      <w:r>
        <w:rPr>
          <w:rFonts w:cs="Arial" w:ascii="Arial" w:hAnsi="Arial"/>
          <w:bCs/>
          <w:color w:val="000000"/>
          <w:sz w:val="22"/>
          <w:szCs w:val="22"/>
          <w:u w:val="none" w:color="000000"/>
          <w:lang w:val="pt-BR"/>
        </w:rPr>
        <w:t xml:space="preserve"> </w:t>
      </w:r>
      <w:r>
        <w:rPr>
          <w:rFonts w:cs="Arial" w:ascii="Arial" w:hAnsi="Arial"/>
          <w:bCs/>
          <w:color w:val="000000"/>
          <w:sz w:val="22"/>
          <w:szCs w:val="22"/>
          <w:u w:val="none" w:color="000000"/>
          <w:lang w:val="pt-BR"/>
        </w:rPr>
        <w:t xml:space="preserve"> relatam valores de dFDN em 30 horas média de 53,87%, sendo um valor desejado de dFDN 48 horas maior que 55%.</w:t>
      </w:r>
    </w:p>
    <w:p>
      <w:pPr>
        <w:pStyle w:val="LOnormal"/>
        <w:jc w:val="both"/>
        <w:rPr>
          <w:rFonts w:ascii="Arial" w:hAnsi="Arial" w:cs="Arial"/>
          <w:bCs/>
          <w:color w:val="000000"/>
          <w:sz w:val="22"/>
          <w:szCs w:val="22"/>
          <w:u w:val="none" w:color="000000"/>
          <w:lang w:val="pt-BR"/>
        </w:rPr>
      </w:pPr>
      <w:r>
        <w:rPr>
          <w:rFonts w:cs="Arial" w:ascii="Arial" w:hAnsi="Arial"/>
          <w:bCs/>
          <w:color w:val="000000"/>
          <w:sz w:val="22"/>
          <w:szCs w:val="22"/>
          <w:u w:val="none" w:color="000000"/>
          <w:lang w:val="pt-BR"/>
        </w:rPr>
        <w:t xml:space="preserve">Os valores de digestibilidade médios em 48 horas encontrados em nossas amostras estão acima dos relatados por </w:t>
      </w:r>
      <w:sdt>
        <w:sdtPr>
          <w:id w:val="293941646"/>
        </w:sdtPr>
        <w:sdtContent>
          <w:r>
            <w:rPr>
              <w:rFonts w:cs="Arial" w:ascii="Arial" w:hAnsi="Arial"/>
              <w:bCs/>
              <w:color w:val="000000"/>
              <w:sz w:val="22"/>
              <w:szCs w:val="22"/>
              <w:u w:val="none" w:color="000000"/>
              <w:lang w:val="pt-BR"/>
            </w:rPr>
            <w:t>DI MARCO et al. (2002)</w:t>
          </w:r>
        </w:sdtContent>
      </w:sdt>
      <w:r>
        <w:rPr>
          <w:rFonts w:cs="Arial" w:ascii="Arial" w:hAnsi="Arial"/>
          <w:bCs/>
          <w:color w:val="000000"/>
          <w:sz w:val="22"/>
          <w:szCs w:val="22"/>
          <w:u w:val="none" w:color="000000"/>
          <w:lang w:val="pt-BR"/>
        </w:rPr>
        <w:t>, ainda que as silagens analisadas neste trabalho estejam acima do teor de matéria seca utilizados no trabalho comparado (máx. 32%).</w:t>
      </w:r>
    </w:p>
    <w:p>
      <w:pPr>
        <w:pStyle w:val="LOnormal"/>
        <w:jc w:val="both"/>
        <w:rPr>
          <w:rFonts w:ascii="Arial" w:hAnsi="Arial" w:cs="Arial"/>
          <w:bCs/>
          <w:color w:val="000000"/>
          <w:sz w:val="22"/>
          <w:szCs w:val="22"/>
          <w:u w:val="none" w:color="000000"/>
          <w:lang w:val="pt-BR"/>
        </w:rPr>
      </w:pPr>
      <w:r>
        <w:rPr>
          <w:rFonts w:cs="Arial" w:ascii="Arial" w:hAnsi="Arial"/>
          <w:bCs/>
          <w:color w:val="000000"/>
          <w:sz w:val="22"/>
          <w:szCs w:val="22"/>
          <w:u w:val="none" w:color="000000"/>
          <w:lang w:val="pt-BR"/>
        </w:rPr>
        <w:t>O valor da digestibilidade da FDN em 48 horas (</w:t>
      </w:r>
      <w:r>
        <w:rPr>
          <w:rFonts w:eastAsia="Times New Roman" w:cs="Arial" w:ascii="Arial" w:hAnsi="Arial"/>
          <w:color w:val="000000"/>
          <w:sz w:val="20"/>
          <w:szCs w:val="20"/>
          <w:lang w:val="pt-BR"/>
        </w:rPr>
        <w:t>dFDNt 48h= 61,29%, dFDNp 48h= 51,16%)</w:t>
      </w:r>
      <w:r>
        <w:rPr>
          <w:rFonts w:cs="Arial" w:ascii="Arial" w:hAnsi="Arial"/>
          <w:bCs/>
          <w:color w:val="000000"/>
          <w:sz w:val="22"/>
          <w:szCs w:val="22"/>
          <w:u w:val="none" w:color="000000"/>
          <w:lang w:val="pt-BR"/>
        </w:rPr>
        <w:t xml:space="preserve"> é superior ao relatado no </w:t>
      </w:r>
      <w:sdt>
        <w:sdtPr>
          <w:id w:val="786569621"/>
        </w:sdtPr>
        <w:sdtContent>
          <w:r>
            <w:rPr>
              <w:rFonts w:cs="Arial" w:ascii="Arial" w:hAnsi="Arial"/>
              <w:bCs/>
              <w:color w:val="000000"/>
              <w:sz w:val="22"/>
              <w:szCs w:val="22"/>
              <w:u w:val="none" w:color="000000"/>
              <w:lang w:val="pt-BR"/>
            </w:rPr>
            <w:t>NASEM (2021)</w:t>
          </w:r>
        </w:sdtContent>
      </w:sdt>
      <w:r>
        <w:rPr>
          <w:rFonts w:cs="Arial" w:ascii="Arial" w:hAnsi="Arial"/>
          <w:bCs/>
          <w:color w:val="000000"/>
          <w:sz w:val="22"/>
          <w:szCs w:val="22"/>
          <w:u w:val="none" w:color="000000"/>
          <w:lang w:val="pt-BR"/>
        </w:rPr>
        <w:t xml:space="preserve"> </w:t>
      </w:r>
      <w:r>
        <w:rPr>
          <w:rFonts w:cs="Arial" w:ascii="Arial" w:hAnsi="Arial"/>
          <w:bCs/>
          <w:color w:val="000000"/>
          <w:sz w:val="22"/>
          <w:szCs w:val="22"/>
          <w:u w:val="none" w:color="000000"/>
          <w:lang w:val="pt-BR"/>
        </w:rPr>
        <w:t>para silagens de milho (50,80%).</w:t>
      </w:r>
      <w:r>
        <w:rPr>
          <w:rFonts w:cs="Arial" w:ascii="Arial" w:hAnsi="Arial"/>
          <w:bCs/>
          <w:color w:val="000000"/>
          <w:sz w:val="22"/>
          <w:szCs w:val="22"/>
          <w:u w:val="none" w:color="000000"/>
          <w:lang w:val="pt-BR" w:eastAsia="en-US"/>
        </w:rPr>
        <w:t xml:space="preserve"> </w:t>
      </w:r>
      <w:r>
        <w:rPr>
          <w:rFonts w:cs="Arial" w:ascii="Arial" w:hAnsi="Arial"/>
          <w:bCs/>
          <w:color w:val="000000"/>
          <w:sz w:val="22"/>
          <w:szCs w:val="22"/>
          <w:u w:val="none" w:color="000000"/>
          <w:lang w:val="pt-BR"/>
        </w:rPr>
        <w:t>No que diz respeito a literatura comparada, observa-se que as silagens produzidas no Noroeste gaúcho apresentam boa digestibilidade da FDN.</w:t>
      </w:r>
    </w:p>
    <w:p>
      <w:pPr>
        <w:pStyle w:val="LOnormal"/>
        <w:jc w:val="both"/>
        <w:rPr>
          <w:rFonts w:ascii="Arial" w:hAnsi="Arial" w:cs="Arial"/>
          <w:bCs/>
          <w:color w:val="000000"/>
          <w:sz w:val="22"/>
          <w:szCs w:val="22"/>
          <w:u w:val="none" w:color="000000"/>
          <w:lang w:val="pt-BR" w:eastAsia="en-US"/>
        </w:rPr>
      </w:pPr>
      <w:sdt>
        <w:sdtPr>
          <w:id w:val="405930580"/>
        </w:sdtPr>
        <w:sdtContent>
          <w:r>
            <w:rPr>
              <w:rFonts w:cs="Arial" w:ascii="Arial" w:hAnsi="Arial"/>
              <w:bCs/>
              <w:color w:val="000000"/>
              <w:sz w:val="22"/>
              <w:szCs w:val="22"/>
              <w:u w:val="none" w:color="000000"/>
              <w:lang w:val="pt-BR" w:eastAsia="en-US"/>
            </w:rPr>
            <w:t>HUTJENS (2018)</w:t>
          </w:r>
        </w:sdtContent>
      </w:sdt>
      <w:r>
        <w:rPr>
          <w:rFonts w:cs="Arial" w:ascii="Arial" w:hAnsi="Arial"/>
          <w:bCs/>
          <w:color w:val="000000"/>
          <w:sz w:val="22"/>
          <w:szCs w:val="22"/>
          <w:u w:val="none" w:color="000000"/>
          <w:lang w:val="pt-BR" w:eastAsia="en-US"/>
        </w:rPr>
        <w:t xml:space="preserve"> </w:t>
      </w:r>
      <w:r>
        <w:rPr>
          <w:rFonts w:cs="Arial" w:ascii="Arial" w:hAnsi="Arial"/>
          <w:bCs/>
          <w:color w:val="000000"/>
          <w:sz w:val="22"/>
          <w:szCs w:val="22"/>
          <w:u w:val="none" w:color="000000"/>
          <w:lang w:val="pt-BR" w:eastAsia="en-US"/>
        </w:rPr>
        <w:t xml:space="preserve">recomendam uma ingestão máxima de uFDN de 0,35% a 0,40% do peso vivo, valores muito inferiores podem causar acidose e altas taxas de passagens, valores muito elevados reduzem taxa de passagem e podem reduzir consumo por limitação física do rúmem, reduzindo ingestão matéria seca e consequentemente a sua produção.  </w:t>
      </w:r>
    </w:p>
    <w:p>
      <w:pPr>
        <w:pStyle w:val="LOnormal"/>
        <w:jc w:val="both"/>
        <w:rPr>
          <w:rFonts w:ascii="Arial" w:hAnsi="Arial" w:cs="Arial"/>
          <w:bCs/>
          <w:color w:val="000000"/>
          <w:sz w:val="22"/>
          <w:szCs w:val="22"/>
          <w:u w:val="none" w:color="000000"/>
          <w:lang w:val="pt-BR"/>
        </w:rPr>
      </w:pPr>
      <w:r>
        <w:rPr>
          <w:rFonts w:cs="Arial" w:ascii="Arial" w:hAnsi="Arial"/>
          <w:bCs/>
          <w:color w:val="000000"/>
          <w:sz w:val="22"/>
          <w:szCs w:val="22"/>
          <w:u w:val="none" w:color="000000"/>
          <w:lang w:val="pt-BR"/>
        </w:rPr>
      </w:r>
    </w:p>
    <w:p>
      <w:pPr>
        <w:pStyle w:val="LO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Conclusão</w:t>
      </w:r>
      <w:r>
        <w:rPr>
          <w:rFonts w:cs="Arial" w:ascii="Arial" w:hAnsi="Arial"/>
          <w:color w:val="000000"/>
          <w:sz w:val="22"/>
          <w:szCs w:val="22"/>
          <w:u w:val="none" w:color="000000"/>
          <w:lang w:val="pt-BR"/>
        </w:rPr>
        <w:t xml:space="preserve">: </w:t>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t>As silagens produzidas no noroeste gaúcho apresentam uma digestibilidade da FDN média de 56,90%, considerada alta, o que proporciona uma alta contribuição energética da silagem em relação a dieta total, possibilitando o suprimento do requerimento energético e aumento produção.</w:t>
      </w:r>
    </w:p>
    <w:p>
      <w:pPr>
        <w:pStyle w:val="LOnormal"/>
        <w:jc w:val="both"/>
        <w:rPr>
          <w:rFonts w:ascii="Arial" w:hAnsi="Arial" w:eastAsia="Arial" w:cs="Arial"/>
          <w:bCs/>
          <w:color w:val="000000"/>
          <w:sz w:val="22"/>
          <w:szCs w:val="22"/>
          <w:u w:val="none" w:color="000000"/>
          <w:lang w:val="pt-BR"/>
        </w:rPr>
      </w:pPr>
      <w:r>
        <w:rPr>
          <w:rFonts w:eastAsia="Arial" w:cs="Arial" w:ascii="Arial" w:hAnsi="Arial"/>
          <w:bCs/>
          <w:color w:val="000000"/>
          <w:sz w:val="22"/>
          <w:szCs w:val="22"/>
          <w:u w:val="none" w:color="000000"/>
          <w:lang w:val="pt-BR"/>
        </w:rPr>
      </w:r>
    </w:p>
    <w:p>
      <w:pPr>
        <w:pStyle w:val="LOnormal"/>
        <w:jc w:val="both"/>
        <w:rPr>
          <w:rFonts w:ascii="Arial" w:hAnsi="Arial" w:cs="Arial"/>
          <w:b/>
          <w:b/>
          <w:bCs/>
          <w:color w:val="000000"/>
          <w:sz w:val="22"/>
          <w:szCs w:val="22"/>
          <w:u w:val="none" w:color="000000"/>
          <w:lang w:val="pt-BR"/>
        </w:rPr>
      </w:pPr>
      <w:r>
        <w:rPr>
          <w:rFonts w:cs="Arial" w:ascii="Arial" w:hAnsi="Arial"/>
          <w:b/>
          <w:bCs/>
          <w:color w:val="000000"/>
          <w:sz w:val="22"/>
          <w:szCs w:val="22"/>
          <w:u w:val="none" w:color="000000"/>
          <w:lang w:val="pt-BR"/>
        </w:rPr>
        <w:t xml:space="preserve">Agradecimento: </w:t>
      </w:r>
      <w:r>
        <w:rPr>
          <w:rFonts w:cs="Arial" w:ascii="Arial" w:hAnsi="Arial"/>
          <w:bCs/>
          <w:color w:val="000000"/>
          <w:sz w:val="22"/>
          <w:szCs w:val="22"/>
          <w:u w:val="none" w:color="000000"/>
          <w:lang w:val="pt-BR"/>
        </w:rPr>
        <w:t>Agrotech Serviços Agrícolas.</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cs="Arial"/>
          <w:b/>
          <w:b/>
          <w:color w:val="000000"/>
          <w:sz w:val="22"/>
          <w:szCs w:val="22"/>
          <w:u w:val="none" w:color="000000"/>
        </w:rPr>
      </w:pPr>
      <w:r>
        <w:rPr>
          <w:rFonts w:cs="Arial" w:ascii="Arial" w:hAnsi="Arial"/>
          <w:b/>
          <w:bCs/>
          <w:color w:val="000000"/>
          <w:sz w:val="22"/>
          <w:szCs w:val="22"/>
          <w:u w:val="none" w:color="000000"/>
          <w:lang w:val="pt-BR"/>
        </w:rPr>
        <w:t xml:space="preserve">Referências: </w:t>
      </w:r>
    </w:p>
    <w:p>
      <w:pPr>
        <w:pStyle w:val="LOnormal"/>
        <w:jc w:val="both"/>
        <w:rPr>
          <w:rFonts w:ascii="Arial" w:hAnsi="Arial" w:cs="Arial"/>
          <w:b/>
          <w:b/>
          <w:sz w:val="22"/>
          <w:szCs w:val="22"/>
        </w:rPr>
      </w:pPr>
      <w:r>
        <w:rPr>
          <w:rFonts w:cs="Arial" w:ascii="Arial" w:hAnsi="Arial"/>
          <w:b/>
          <w:sz w:val="22"/>
          <w:szCs w:val="22"/>
        </w:rPr>
      </w:r>
    </w:p>
    <w:p>
      <w:pPr>
        <w:pStyle w:val="Normal"/>
        <w:rPr>
          <w:rFonts w:ascii="Arial" w:hAnsi="Arial" w:eastAsia="Times New Roman" w:cs="Arial"/>
        </w:rPr>
      </w:pPr>
      <w:r>
        <w:rPr>
          <w:rFonts w:eastAsia="Times New Roman" w:cs="Arial" w:ascii="Arial" w:hAnsi="Arial"/>
        </w:rPr>
        <w:t xml:space="preserve">DI MARCO, O. N. et al. Effect of maize crop maturity on silage chemical composition and digestibility (in vivo, in situ and in vitro). </w:t>
      </w:r>
      <w:r>
        <w:rPr>
          <w:rFonts w:eastAsia="Times New Roman" w:cs="Arial" w:ascii="Arial" w:hAnsi="Arial"/>
          <w:b/>
          <w:bCs/>
        </w:rPr>
        <w:t>Animal Feed Science and Technology</w:t>
      </w:r>
      <w:r>
        <w:rPr>
          <w:rFonts w:eastAsia="Times New Roman" w:cs="Arial" w:ascii="Arial" w:hAnsi="Arial"/>
        </w:rPr>
        <w:t xml:space="preserve">, v. 99, n. 1–4, p. 37–43, ago. 2002. </w:t>
      </w:r>
    </w:p>
    <w:p>
      <w:pPr>
        <w:pStyle w:val="Normal"/>
        <w:rPr>
          <w:rFonts w:ascii="Arial" w:hAnsi="Arial" w:eastAsia="Times New Roman" w:cs="Arial"/>
        </w:rPr>
      </w:pPr>
      <w:r>
        <w:rPr>
          <w:rFonts w:eastAsia="Times New Roman" w:cs="Arial" w:ascii="Arial" w:hAnsi="Arial"/>
        </w:rPr>
      </w:r>
    </w:p>
    <w:p>
      <w:pPr>
        <w:pStyle w:val="Normal"/>
        <w:rPr>
          <w:rFonts w:ascii="Arial" w:hAnsi="Arial" w:eastAsia="Times New Roman" w:cs="Arial"/>
        </w:rPr>
      </w:pPr>
      <w:r>
        <w:rPr>
          <w:rFonts w:eastAsia="Times New Roman" w:cs="Arial" w:ascii="Arial" w:hAnsi="Arial"/>
        </w:rPr>
        <w:t xml:space="preserve">HOFFMAN, P. C. et al. </w:t>
      </w:r>
      <w:r>
        <w:rPr>
          <w:rFonts w:eastAsia="Times New Roman" w:cs="Arial" w:ascii="Arial" w:hAnsi="Arial"/>
          <w:b/>
          <w:bCs/>
        </w:rPr>
        <w:t>Understanding NDF Digestibility of ForagesFocus on Forage</w:t>
      </w:r>
      <w:r>
        <w:rPr>
          <w:rFonts w:eastAsia="Times New Roman" w:cs="Arial" w:ascii="Arial" w:hAnsi="Arial"/>
        </w:rPr>
        <w:t>. 2001.</w:t>
      </w:r>
    </w:p>
    <w:p>
      <w:pPr>
        <w:pStyle w:val="Normal"/>
        <w:rPr>
          <w:rFonts w:ascii="Arial" w:hAnsi="Arial" w:eastAsia="Times New Roman" w:cs="Arial"/>
        </w:rPr>
      </w:pPr>
      <w:r>
        <w:rPr>
          <w:rFonts w:eastAsia="Times New Roman" w:cs="Arial" w:ascii="Arial" w:hAnsi="Arial"/>
        </w:rPr>
        <w:t xml:space="preserve"> </w:t>
      </w:r>
    </w:p>
    <w:p>
      <w:pPr>
        <w:pStyle w:val="Normal"/>
        <w:rPr>
          <w:rFonts w:ascii="Arial" w:hAnsi="Arial" w:eastAsia="Times New Roman" w:cs="Arial"/>
        </w:rPr>
      </w:pPr>
      <w:r>
        <w:rPr>
          <w:rFonts w:eastAsia="Times New Roman" w:cs="Arial" w:ascii="Arial" w:hAnsi="Arial"/>
        </w:rPr>
        <w:t xml:space="preserve">HOFFMAN, P. P. et al. </w:t>
      </w:r>
      <w:r>
        <w:rPr>
          <w:rFonts w:eastAsia="Times New Roman" w:cs="Arial" w:ascii="Arial" w:hAnsi="Arial"/>
          <w:b/>
          <w:bCs/>
        </w:rPr>
        <w:t>Uso de la digestibilidad del FDN en la Formulación de RacionesFocus on Forage</w:t>
      </w:r>
      <w:r>
        <w:rPr>
          <w:rFonts w:eastAsia="Times New Roman" w:cs="Arial" w:ascii="Arial" w:hAnsi="Arial"/>
        </w:rPr>
        <w:t>. 2007.</w:t>
      </w:r>
    </w:p>
    <w:p>
      <w:pPr>
        <w:pStyle w:val="Normal"/>
        <w:rPr>
          <w:rFonts w:ascii="Arial" w:hAnsi="Arial" w:eastAsia="Times New Roman" w:cs="Arial"/>
        </w:rPr>
      </w:pPr>
      <w:r>
        <w:rPr>
          <w:rFonts w:eastAsia="Times New Roman" w:cs="Arial" w:ascii="Arial" w:hAnsi="Arial"/>
        </w:rPr>
      </w:r>
    </w:p>
    <w:p>
      <w:pPr>
        <w:pStyle w:val="Normal"/>
        <w:rPr>
          <w:rFonts w:ascii="Arial" w:hAnsi="Arial" w:eastAsia="Times New Roman" w:cs="Arial"/>
        </w:rPr>
      </w:pPr>
      <w:r>
        <w:rPr>
          <w:rFonts w:eastAsia="Times New Roman" w:cs="Arial" w:ascii="Arial" w:hAnsi="Arial"/>
        </w:rPr>
        <w:t xml:space="preserve">HUTJENS, M. </w:t>
      </w:r>
      <w:r>
        <w:rPr>
          <w:rFonts w:eastAsia="Times New Roman" w:cs="Arial" w:ascii="Arial" w:hAnsi="Arial"/>
          <w:b/>
          <w:bCs/>
        </w:rPr>
        <w:t>Guia de Alimentação de Vacas Leiteiras</w:t>
      </w:r>
      <w:r>
        <w:rPr>
          <w:rFonts w:eastAsia="Times New Roman" w:cs="Arial" w:ascii="Arial" w:hAnsi="Arial"/>
        </w:rPr>
        <w:t xml:space="preserve">. 4. ed. LLINOIS: UNIVERSIDADE DE ILLINOIS, 2018. </w:t>
      </w:r>
    </w:p>
    <w:p>
      <w:pPr>
        <w:pStyle w:val="Normal"/>
        <w:rPr>
          <w:rFonts w:ascii="Arial" w:hAnsi="Arial" w:eastAsia="Times New Roman" w:cs="Arial"/>
        </w:rPr>
      </w:pPr>
      <w:r>
        <w:rPr>
          <w:rFonts w:eastAsia="Times New Roman" w:cs="Arial" w:ascii="Arial" w:hAnsi="Arial"/>
        </w:rPr>
      </w:r>
    </w:p>
    <w:p>
      <w:pPr>
        <w:pStyle w:val="Normal"/>
        <w:rPr>
          <w:rFonts w:ascii="Arial" w:hAnsi="Arial" w:eastAsia="Times New Roman" w:cs="Arial"/>
        </w:rPr>
      </w:pPr>
      <w:r>
        <w:rPr>
          <w:rFonts w:eastAsia="Times New Roman" w:cs="Arial" w:ascii="Arial" w:hAnsi="Arial"/>
        </w:rPr>
        <w:t xml:space="preserve">NASEM, N. A. O. S. E. A. M. </w:t>
      </w:r>
      <w:r>
        <w:rPr>
          <w:rFonts w:eastAsia="Times New Roman" w:cs="Arial" w:ascii="Arial" w:hAnsi="Arial"/>
          <w:b/>
          <w:bCs/>
        </w:rPr>
        <w:t>Nutrient Requirements of Dairy Cattle</w:t>
      </w:r>
      <w:r>
        <w:rPr>
          <w:rFonts w:eastAsia="Times New Roman" w:cs="Arial" w:ascii="Arial" w:hAnsi="Arial"/>
        </w:rPr>
        <w:t xml:space="preserve">. 9. ed. Washington, D.C.: National Academies Press, 2021. </w:t>
      </w:r>
      <w:bookmarkStart w:id="2" w:name="_GoBack"/>
      <w:bookmarkEnd w:id="2"/>
    </w:p>
    <w:p>
      <w:pPr>
        <w:pStyle w:val="Normal"/>
        <w:rPr>
          <w:rFonts w:ascii="Arial" w:hAnsi="Arial" w:eastAsia="Times New Roman" w:cs="Arial"/>
        </w:rPr>
      </w:pPr>
      <w:r>
        <w:rPr>
          <w:rFonts w:eastAsia="Times New Roman" w:cs="Arial" w:ascii="Arial" w:hAnsi="Arial"/>
        </w:rPr>
      </w:r>
    </w:p>
    <w:p>
      <w:pPr>
        <w:pStyle w:val="Normal"/>
        <w:rPr>
          <w:rFonts w:ascii="Arial" w:hAnsi="Arial" w:eastAsia="Times New Roman" w:cs="Arial"/>
        </w:rPr>
      </w:pPr>
      <w:r>
        <w:rPr>
          <w:rFonts w:eastAsia="Times New Roman" w:cs="Arial" w:ascii="Arial" w:hAnsi="Arial"/>
        </w:rPr>
        <w:t xml:space="preserve">QIU, X.; EASTRIDGE, M. L.; WANG, Z. Effects of Corn Silage Hybrid and Dietary Concentration of Forage NDF on Digestibility and Performance by Dairy Cows. </w:t>
      </w:r>
      <w:r>
        <w:rPr>
          <w:rFonts w:eastAsia="Times New Roman" w:cs="Arial" w:ascii="Arial" w:hAnsi="Arial"/>
          <w:b/>
          <w:bCs/>
        </w:rPr>
        <w:t>Journal of Dairy Science</w:t>
      </w:r>
      <w:r>
        <w:rPr>
          <w:rFonts w:eastAsia="Times New Roman" w:cs="Arial" w:ascii="Arial" w:hAnsi="Arial"/>
        </w:rPr>
        <w:t xml:space="preserve">, v. 86, n. 11, p. 3667–3674, nov. 2003. </w:t>
      </w:r>
    </w:p>
    <w:sectPr>
      <w:headerReference w:type="default" r:id="rId2"/>
      <w:type w:val="nextPage"/>
      <w:pgSz w:w="11906" w:h="16838"/>
      <w:pgMar w:left="1418" w:right="1418" w:header="0" w:top="1418" w:footer="0" w:bottom="141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Neue">
    <w:charset w:val="00"/>
    <w:family w:val="roman"/>
    <w:pitch w:val="variable"/>
  </w:font>
  <w:font w:name="Liberation Sans">
    <w:altName w:val="Arial"/>
    <w:charset w:val="00"/>
    <w:family w:val="swiss"/>
    <w:pitch w:val="variable"/>
  </w:font>
  <w:font w:name="Cambria">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152400" distB="152400" distL="152400" distR="152400" simplePos="0" locked="0" layoutInCell="0" allowOverlap="1" relativeHeight="4">
          <wp:simplePos x="0" y="0"/>
          <wp:positionH relativeFrom="page">
            <wp:align>right</wp:align>
          </wp:positionH>
          <wp:positionV relativeFrom="page">
            <wp:posOffset>9525</wp:posOffset>
          </wp:positionV>
          <wp:extent cx="7556500" cy="1115060"/>
          <wp:effectExtent l="0" t="0" r="0" b="0"/>
          <wp:wrapTopAndBottom/>
          <wp:docPr id="1"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Cabeçalho SBSS-02.jpg"/>
                  <pic:cNvPicPr>
                    <a:picLocks noChangeAspect="1" noChangeArrowheads="1"/>
                  </pic:cNvPicPr>
                </pic:nvPicPr>
                <pic:blipFill>
                  <a:blip r:embed="rId1"/>
                  <a:stretch>
                    <a:fillRect/>
                  </a:stretch>
                </pic:blipFill>
                <pic:spPr bwMode="auto">
                  <a:xfrm>
                    <a:off x="0" y="0"/>
                    <a:ext cx="7556500" cy="1115060"/>
                  </a:xfrm>
                  <a:prstGeom prst="rect">
                    <a:avLst/>
                  </a:prstGeom>
                </pic:spPr>
              </pic:pic>
            </a:graphicData>
          </a:graphic>
        </wp:anchor>
      </w:drawing>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6f3f88"/>
    <w:pPr>
      <w:widowControl/>
      <w:pBdr/>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LinkdaInternet">
    <w:name w:val="Link da Internet"/>
    <w:rPr>
      <w:u w:val="single"/>
    </w:rPr>
  </w:style>
  <w:style w:type="character" w:styleId="SubttuloChar" w:customStyle="1">
    <w:name w:val="Subtítulo Char"/>
    <w:basedOn w:val="DefaultParagraphFont"/>
    <w:link w:val="Subttulo"/>
    <w:uiPriority w:val="11"/>
    <w:qFormat/>
    <w:rsid w:val="00a16d16"/>
    <w:rPr>
      <w:rFonts w:ascii="Helvetica Neue" w:hAnsi="Helvetica Neue" w:eastAsia="Helvetica Neue" w:cs="Helvetica Neue" w:asciiTheme="minorHAnsi" w:cstheme="minorBidi" w:eastAsiaTheme="minorEastAsia" w:hAnsiTheme="minorHAnsi"/>
      <w:color w:val="5A5A5A" w:themeColor="text1" w:themeTint="a5"/>
      <w:spacing w:val="15"/>
      <w:sz w:val="22"/>
      <w:szCs w:val="22"/>
      <w:lang w:val="en-US" w:eastAsia="en-US"/>
    </w:rPr>
  </w:style>
  <w:style w:type="character" w:styleId="Normaltextrun" w:customStyle="1">
    <w:name w:val="normaltextrun"/>
    <w:basedOn w:val="DefaultParagraphFont"/>
    <w:qFormat/>
    <w:rsid w:val="00a16d16"/>
    <w:rPr/>
  </w:style>
  <w:style w:type="character" w:styleId="PlaceholderText">
    <w:name w:val="Placeholder Text"/>
    <w:basedOn w:val="DefaultParagraphFont"/>
    <w:uiPriority w:val="99"/>
    <w:semiHidden/>
    <w:qFormat/>
    <w:rsid w:val="00947524"/>
    <w:rPr>
      <w:color w:val="808080"/>
    </w:rPr>
  </w:style>
  <w:style w:type="character" w:styleId="CabealhoChar" w:customStyle="1">
    <w:name w:val="Cabeçalho Char"/>
    <w:basedOn w:val="DefaultParagraphFont"/>
    <w:link w:val="Cabealho"/>
    <w:uiPriority w:val="99"/>
    <w:qFormat/>
    <w:rsid w:val="00662c90"/>
    <w:rPr>
      <w:sz w:val="24"/>
      <w:szCs w:val="24"/>
      <w:lang w:val="en-US" w:eastAsia="en-US"/>
    </w:rPr>
  </w:style>
  <w:style w:type="character" w:styleId="RodapChar" w:customStyle="1">
    <w:name w:val="Rodapé Char"/>
    <w:basedOn w:val="DefaultParagraphFont"/>
    <w:link w:val="Rodap"/>
    <w:uiPriority w:val="99"/>
    <w:qFormat/>
    <w:rsid w:val="00662c90"/>
    <w:rPr>
      <w:sz w:val="24"/>
      <w:szCs w:val="24"/>
      <w:lang w:val="en-US" w:eastAsia="en-US"/>
    </w:rPr>
  </w:style>
  <w:style w:type="character" w:styleId="TextodecomentrioChar" w:customStyle="1">
    <w:name w:val="Texto de comentário Char"/>
    <w:basedOn w:val="DefaultParagraphFont"/>
    <w:link w:val="Textodecomentrio"/>
    <w:uiPriority w:val="99"/>
    <w:qFormat/>
    <w:rsid w:val="0000336a"/>
    <w:rPr>
      <w:lang w:val="en-US" w:eastAsia="en-U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Onormal" w:customStyle="1">
    <w:name w:val="LO-normal"/>
    <w:qFormat/>
    <w:pPr>
      <w:widowControl/>
      <w:pBdr/>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pPr>
      <w:widowControl/>
      <w:pBdr/>
      <w:tabs>
        <w:tab w:val="clear" w:pos="720"/>
        <w:tab w:val="right" w:pos="9020" w:leader="none"/>
      </w:tabs>
      <w:bidi w:val="0"/>
      <w:spacing w:before="0" w:after="0"/>
      <w:jc w:val="left"/>
    </w:pPr>
    <w:rPr>
      <w:rFonts w:ascii="Helvetica Neue" w:hAnsi="Helvetica Neue" w:cs="Arial Unicode MS" w:eastAsia="Arial Unicode MS"/>
      <w:color w:val="000000"/>
      <w:kern w:val="0"/>
      <w:sz w:val="24"/>
      <w:szCs w:val="24"/>
      <w:lang w:val="pt-BR" w:eastAsia="pt-BR" w:bidi="ar-SA"/>
      <w14:textOutline w14:w="0" w14:cap="flat" w14:cmpd="sng" w14:algn="ctr">
        <w14:noFill/>
        <w14:prstDash w14:val="solid"/>
        <w14:bevel/>
      </w14:textOutline>
    </w:rPr>
  </w:style>
  <w:style w:type="paragraph" w:styleId="Subttulo">
    <w:name w:val="Subtitle"/>
    <w:basedOn w:val="Normal"/>
    <w:next w:val="Normal"/>
    <w:link w:val="SubttuloChar"/>
    <w:uiPriority w:val="11"/>
    <w:qFormat/>
    <w:rsid w:val="00a16d16"/>
    <w:pPr>
      <w:spacing w:before="0" w:after="160"/>
    </w:pPr>
    <w:rPr>
      <w:rFonts w:ascii="Helvetica Neue" w:hAnsi="Helvetica Neue" w:eastAsia="Helvetica Neue" w:cs="Helvetica Neue" w:asciiTheme="minorHAnsi" w:cstheme="minorBidi" w:eastAsiaTheme="minorEastAsia" w:hAnsiTheme="minorHAnsi"/>
      <w:color w:val="5A5A5A" w:themeColor="text1" w:themeTint="a5"/>
      <w:spacing w:val="15"/>
      <w:sz w:val="22"/>
      <w:szCs w:val="22"/>
    </w:rPr>
  </w:style>
  <w:style w:type="paragraph" w:styleId="Cabealho">
    <w:name w:val="Header"/>
    <w:basedOn w:val="Normal"/>
    <w:link w:val="CabealhoChar"/>
    <w:uiPriority w:val="99"/>
    <w:unhideWhenUsed/>
    <w:rsid w:val="00662c90"/>
    <w:pPr>
      <w:tabs>
        <w:tab w:val="clear" w:pos="720"/>
        <w:tab w:val="center" w:pos="4252" w:leader="none"/>
        <w:tab w:val="right" w:pos="8504" w:leader="none"/>
      </w:tabs>
    </w:pPr>
    <w:rPr/>
  </w:style>
  <w:style w:type="paragraph" w:styleId="Rodap">
    <w:name w:val="Footer"/>
    <w:basedOn w:val="Normal"/>
    <w:link w:val="RodapChar"/>
    <w:uiPriority w:val="99"/>
    <w:unhideWhenUsed/>
    <w:rsid w:val="00662c90"/>
    <w:pPr>
      <w:tabs>
        <w:tab w:val="clear" w:pos="720"/>
        <w:tab w:val="center" w:pos="4252" w:leader="none"/>
        <w:tab w:val="right" w:pos="8504" w:leader="none"/>
      </w:tabs>
    </w:pPr>
    <w:rPr/>
  </w:style>
  <w:style w:type="paragraph" w:styleId="Annotationtext">
    <w:name w:val="annotation text"/>
    <w:basedOn w:val="Normal"/>
    <w:link w:val="TextodecomentrioChar"/>
    <w:uiPriority w:val="99"/>
    <w:unhideWhenUsed/>
    <w:qFormat/>
    <w:rsid w:val="0000336a"/>
    <w:pPr>
      <w:pBdr/>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glossaryDocument" Target="glossary/document.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ral"/>
          <w:gallery w:val="placeholder"/>
        </w:category>
        <w:types>
          <w:type w:val="bbPlcHdr"/>
        </w:types>
        <w:behaviors>
          <w:behavior w:val="content"/>
        </w:behaviors>
        <w:guid w:val="{BC7E6A88-FFE6-4FAC-A4B2-2AEACF11752E}"/>
      </w:docPartPr>
      <w:docPartBody>
        <w:p w:rsidR="002F31DB" w:rsidRDefault="002F31DB">
          <w:r w:rsidRPr="00C120CF">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1DB"/>
    <w:rsid w:val="001F6821"/>
    <w:rsid w:val="002F31DB"/>
    <w:rsid w:val="00305364"/>
    <w:rsid w:val="008A420B"/>
    <w:rsid w:val="009C1C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F31DB"/>
    <w:rPr>
      <w:color w:val="808080"/>
    </w:rPr>
  </w:style>
  <w:style w:type="paragraph" w:customStyle="1" w:styleId="DE8978D39309480CBE3F2A805ACAA053">
    <w:name w:val="DE8978D39309480CBE3F2A805ACAA053"/>
    <w:rsid w:val="008A42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459EE-AA55-40E8-9DEF-10D27B418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LibreOffice/7.1.2.2$Windows_X86_64 LibreOffice_project/8a45595d069ef5570103caea1b71cc9d82b2aae4</Application>
  <AppVersion>15.0000</AppVersion>
  <Pages>3</Pages>
  <Words>1391</Words>
  <Characters>7457</Characters>
  <CharactersWithSpaces>8746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2023-10-02T23:46:00Z</dcterms:created>
  <dc:creator/>
  <dc:description/>
  <dc:language>pt-BR</dc:language>
  <cp:lastModifiedBy/>
  <dcterms:modified xsi:type="dcterms:W3CDTF">2023-10-23T22:39:17Z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