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76"/>
        <w:jc w:val="center"/>
        <w:rPr/>
      </w:pPr>
      <w:r>
        <w:rPr/>
      </w:r>
    </w:p>
    <w:p>
      <w:pPr>
        <w:pStyle w:val="LOnormal"/>
        <w:spacing w:lineRule="auto" w:line="276"/>
        <w:jc w:val="center"/>
        <w:rPr>
          <w:rFonts w:ascii="Arial" w:hAnsi="Arial" w:eastAsia="Arial" w:cs="Arial"/>
          <w:b/>
          <w:b/>
          <w:bCs/>
          <w:color w:val="000000"/>
          <w:sz w:val="28"/>
          <w:szCs w:val="28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8"/>
          <w:szCs w:val="28"/>
          <w:u w:val="none" w:color="000000"/>
          <w:lang w:val="pt-BR"/>
        </w:rPr>
        <w:t xml:space="preserve">Relato de caso: monitoramento da presença do </w:t>
      </w:r>
      <w:r>
        <w:rPr>
          <w:rFonts w:ascii="Arial" w:hAnsi="Arial"/>
          <w:b/>
          <w:bCs/>
          <w:i/>
          <w:iCs/>
          <w:color w:val="000000"/>
          <w:sz w:val="28"/>
          <w:szCs w:val="28"/>
          <w:u w:val="none" w:color="000000"/>
          <w:lang w:val="pt-BR"/>
        </w:rPr>
        <w:t>Toxoplasma gondii</w:t>
      </w:r>
      <w:r>
        <w:rPr>
          <w:rFonts w:ascii="Arial" w:hAnsi="Arial"/>
          <w:b/>
          <w:bCs/>
          <w:color w:val="000000"/>
          <w:sz w:val="28"/>
          <w:szCs w:val="28"/>
          <w:u w:val="none" w:color="000000"/>
          <w:lang w:val="pt-BR"/>
        </w:rPr>
        <w:t xml:space="preserve"> em uma propriedade leiteira com gatos</w:t>
      </w:r>
      <w:bookmarkStart w:id="0" w:name="_Hlk146626840"/>
      <w:bookmarkEnd w:id="0"/>
    </w:p>
    <w:p>
      <w:pPr>
        <w:pStyle w:val="LOnormal"/>
        <w:spacing w:lineRule="auto" w:line="276"/>
        <w:jc w:val="center"/>
        <w:rPr>
          <w:rFonts w:ascii="Arial" w:hAnsi="Arial" w:eastAsia="Arial" w:cs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center"/>
        <w:rPr>
          <w:rFonts w:ascii="Arial" w:hAnsi="Arial" w:eastAsia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bookmarkStart w:id="1" w:name="_Hlk146624753"/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Contribuição para a sociedade</w:t>
      </w:r>
      <w:bookmarkEnd w:id="1"/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: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</w:t>
      </w:r>
    </w:p>
    <w:p>
      <w:pPr>
        <w:pStyle w:val="LOnormal"/>
        <w:jc w:val="both"/>
        <w:rPr>
          <w:lang w:val="pt-BR"/>
        </w:rPr>
      </w:pP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Toxoplasma gondii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é o agente causador da toxoplasmose, um protozoário que infecta diferentes espécies de animais homeotérmicos, incluindo mamíferos (animais e humanos) e aves. Essa zoonose possui grande importância, devido às alterações, como aborto e doenças congênitas em várias espécies. Foi realizado o teste de Hemaglutinação Indireta (HAI) em soro obtido de 35 bovinos, fêmeas de uma única propriedade, onde se obteve 13 amostras positivas (37,14%) em diferentes diluições. Por se tratar de uma zoonose, a infecção humana pode ocorrer através do consumo de leite não pasteurizado de animais soropositivos, alertando veterinários de campo para considerarem o diagnóstico desta protozoonose em animais de produção leiteira.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Palavras-chave: toxoplasmose, leite, zoonose, sorologia</w:t>
      </w:r>
      <w:bookmarkStart w:id="2" w:name="_Hlk146626802"/>
      <w:bookmarkEnd w:id="2"/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Descrição do caso:  </w:t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O trabalho teve como objetivo monitorar uma propriedade do oeste de SC para presença de toxoplasmose, considerando que a propriedade tem atividade de leite e possui gatos. Foram coletadas 35 amostras sorológicas de vacas, criadas no sistema extensivo e que possuem gatos na propriedade, onde os mesmos têm acesso à alimentação das vacas. O intuito foi de verificar a presença de anticorpos para Toxoplasmose nestes animais. Para isto as amostras foram obtidas com auxílio de veterinários de campo, coletadas por venopunção coccígea, centrifugadas e o soro armazenado a -20°C, até a realização do teste no Laboratório de Análises Clínicas da Clínica Escola de Medicina Veterinária da Unochapecó. Como felinos domésticos são hospedeiros definitivos de toxoplasmose (Porto </w:t>
      </w:r>
      <w:r>
        <w:rPr>
          <w:rFonts w:ascii="Arial" w:hAnsi="Arial"/>
          <w:i/>
          <w:color w:val="000000"/>
          <w:sz w:val="22"/>
          <w:szCs w:val="22"/>
          <w:u w:val="none" w:color="000000"/>
          <w:lang w:val="pt-BR"/>
        </w:rPr>
        <w:t>et al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., 2008), há uma preocupação quando sua presença está em contato tão próximo aos animais de produção, em especial nos acessos a rações, pasto e água de beber (Neves </w:t>
      </w:r>
      <w:r>
        <w:rPr>
          <w:rFonts w:ascii="Arial" w:hAnsi="Arial"/>
          <w:i/>
          <w:color w:val="000000"/>
          <w:sz w:val="22"/>
          <w:szCs w:val="22"/>
          <w:u w:val="none" w:color="000000"/>
          <w:lang w:val="pt-BR"/>
        </w:rPr>
        <w:t>et al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., 2002). Felinos eliminam oocistos da parasitose nas fezes, contaminando alimentos, o meio ambiente e fontes de água onde animais de produção se encontram (Balzan; Silva, 2013).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bookmarkStart w:id="3" w:name="_Hlk146626983"/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Resultados: </w:t>
      </w:r>
      <w:bookmarkEnd w:id="3"/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Foram realizados testes de Hemaglutinação Indireta (HAI) para detecção de anticorpos IgG anti-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T. gondii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em amostras soros bovinos, processados com o kit comercial Imuno-Hai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 xml:space="preserve">Toxo 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(Wama®), servindo de </w:t>
      </w:r>
      <w:r>
        <w:rPr>
          <w:rFonts w:ascii="Arial" w:hAnsi="Arial"/>
          <w:i/>
          <w:color w:val="000000"/>
          <w:sz w:val="22"/>
          <w:szCs w:val="22"/>
          <w:u w:val="none" w:color="000000"/>
          <w:lang w:val="pt-BR"/>
        </w:rPr>
        <w:t>screnning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para a presença do protozoário nos animais. O teste foi realizado seguindo as recomendações de Camargo </w:t>
      </w:r>
      <w:r>
        <w:rPr>
          <w:rFonts w:ascii="Arial" w:hAnsi="Arial"/>
          <w:i/>
          <w:color w:val="000000"/>
          <w:sz w:val="22"/>
          <w:szCs w:val="22"/>
          <w:u w:val="none" w:color="000000"/>
          <w:lang w:val="pt-BR"/>
        </w:rPr>
        <w:t>et al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. (1977) e conforme procedimentos recomendados pelo fabricante, testando diluições de soro em 1:64, 1:128, 1:256, 1:512, 1:1024, 1:2048, 1:4096 contra antígeno fixado em hemácias de carneiros, sensibilizadas por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T. gondii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que permitiram a visualização da reação antígeno-anticorpo. As coletas foram de atendimento particular e o processamento se deu em laboratório privado. Foram considerados como amostras positivas, soros que apresentaram títulos iguais ou superiores a 1:64 -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cut off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(Camargo., 1977). Dos 35 soros coletados, 13 (37,14%) positivos, com 9 soros 1:64, 1 soro 1:256 e 3 amostras positivas na diluição 1:512, o que nos leva a concluir que existem animais na fase aguda da doença (30,76%). Segundo Suárez-Hernándes </w:t>
      </w:r>
      <w:r>
        <w:rPr>
          <w:rFonts w:ascii="Arial" w:hAnsi="Arial"/>
          <w:i/>
          <w:color w:val="000000"/>
          <w:sz w:val="22"/>
          <w:szCs w:val="22"/>
          <w:u w:val="none" w:color="000000"/>
          <w:lang w:val="pt-BR"/>
        </w:rPr>
        <w:t>et al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. (2005), a presença de taquizoítos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T. gondii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já foi relatada no leite de ovelhas, cabra e vacas, o que vem de encontro a este trabalho em 4 amostras (1:256 e 1:512). Os autores ainda afirmam que apesar do leite cru não ser a principal via de transmissão da toxoplasmose, ele pode veicular o parasito durante a fase aguda de parasitemia, portanto deve ser ingerido somente após a pasteurização ou fervura. A escolha do teste foi visando monitorar a presença deste parasito, que, segundo Moura </w:t>
      </w:r>
      <w:r>
        <w:rPr>
          <w:rFonts w:ascii="Arial" w:hAnsi="Arial"/>
          <w:i/>
          <w:color w:val="000000"/>
          <w:sz w:val="22"/>
          <w:szCs w:val="22"/>
          <w:u w:val="none" w:color="000000"/>
          <w:lang w:val="pt-BR"/>
        </w:rPr>
        <w:t>et al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. (2007), é uma importante melhoria da sanidade dos animais, gerando lucros e divisas para o produtor, além de sua importância como zoonose na saúde pública.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0"/>
          <w:szCs w:val="20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Conclusão: 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  <w:t xml:space="preserve">A soroprevalência de </w:t>
      </w:r>
      <w:r>
        <w:rPr>
          <w:rFonts w:eastAsia="Arial" w:cs="Arial" w:ascii="Arial" w:hAnsi="Arial"/>
          <w:i/>
          <w:iCs/>
          <w:color w:val="000000"/>
          <w:sz w:val="22"/>
          <w:szCs w:val="22"/>
          <w:u w:val="none" w:color="000000"/>
          <w:lang w:val="pt-BR"/>
        </w:rPr>
        <w:t>Toxoplasma gondii</w:t>
      </w: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  <w:t xml:space="preserve"> foi observada em bovinos criados em um município do oeste de Santa Catarina. A presença de gatos na propriedade estudada, somado a um manejo inadequado, favorecem a contaminação dos animais de produção via oocistos.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Referências: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.</w:t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  <w:t xml:space="preserve">BALZAN A.; SILVA, A. S. da. </w:t>
      </w:r>
      <w:r>
        <w:rPr>
          <w:rFonts w:cs="Arial" w:ascii="Arial" w:hAnsi="Arial"/>
          <w:i/>
          <w:iCs/>
          <w:sz w:val="22"/>
          <w:szCs w:val="22"/>
          <w:lang w:val="pt-BR"/>
        </w:rPr>
        <w:t>TOXOPLASMOSE Uma das Principais Causas de Problemas Reprodutivos em Ovinos</w:t>
      </w:r>
      <w:r>
        <w:rPr>
          <w:rFonts w:cs="Arial" w:ascii="Arial" w:hAnsi="Arial"/>
          <w:sz w:val="22"/>
          <w:szCs w:val="22"/>
          <w:lang w:val="pt-BR"/>
        </w:rPr>
        <w:t xml:space="preserve">. SB Rural - Caderno Rural, ed. 113, ano 5, 2013. Disponível em: </w:t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hyperlink r:id="rId2">
        <w:r>
          <w:rPr>
            <w:rStyle w:val="LinkdaInternet"/>
            <w:rFonts w:cs="Arial" w:ascii="Arial" w:hAnsi="Arial"/>
            <w:sz w:val="22"/>
            <w:szCs w:val="22"/>
            <w:lang w:val="pt-BR"/>
          </w:rPr>
          <w:t>https://www.udesc.br/arquivos/ceo/id_cpmenu/1043/caderno_udesc_103_15198215155139_1043.pdf</w:t>
        </w:r>
      </w:hyperlink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  <w:t xml:space="preserve">CAMARGO, M. E., LESER, P. G., LESER, W. S. P. </w:t>
      </w:r>
      <w:r>
        <w:rPr>
          <w:rFonts w:cs="Arial" w:ascii="Arial" w:hAnsi="Arial"/>
          <w:i/>
          <w:iCs/>
          <w:sz w:val="22"/>
          <w:szCs w:val="22"/>
          <w:lang w:val="pt-BR"/>
        </w:rPr>
        <w:t>Definição de perfis sorológicos na toxoplasmose. Importância diagnóstica e epidemiológica.</w:t>
      </w:r>
      <w:r>
        <w:rPr>
          <w:rFonts w:cs="Arial" w:ascii="Arial" w:hAnsi="Arial"/>
          <w:sz w:val="22"/>
          <w:szCs w:val="22"/>
          <w:lang w:val="pt-BR"/>
        </w:rPr>
        <w:t xml:space="preserve"> Revista Brasileira de Patologia Clínica. V.13, n.3, p. 113-127, 1977.</w:t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</w:rPr>
        <w:t xml:space="preserve">MOURA, A.B.; OSAKI, S.C.; ZULPO, D.L.; MARANA, E.R. </w:t>
      </w:r>
      <w:r>
        <w:rPr>
          <w:rFonts w:cs="Arial" w:ascii="Arial" w:hAnsi="Arial"/>
          <w:i/>
          <w:iCs/>
          <w:sz w:val="22"/>
          <w:szCs w:val="22"/>
        </w:rPr>
        <w:t>Ocurrence of antiToxoplasma gondii antibodies in swine and slaughtered at municipality of Guarapuava in the State of Paraná, Brasil.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  <w:lang w:val="pt-BR"/>
        </w:rPr>
        <w:t>Revista Brasileira de Parasitologia Veterinária, v.16, n.1, p. 54-56, 2007.</w:t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  <w:t xml:space="preserve">NEVES, D.P; MELO, A.L.; LINARDI, P.M. </w:t>
      </w:r>
      <w:r>
        <w:rPr>
          <w:rFonts w:cs="Arial" w:ascii="Arial" w:hAnsi="Arial"/>
          <w:i/>
          <w:iCs/>
          <w:sz w:val="22"/>
          <w:szCs w:val="22"/>
          <w:lang w:val="pt-BR"/>
        </w:rPr>
        <w:t>Toxoplasma gondii.</w:t>
      </w:r>
      <w:r>
        <w:rPr>
          <w:rFonts w:cs="Arial" w:ascii="Arial" w:hAnsi="Arial"/>
          <w:sz w:val="22"/>
          <w:szCs w:val="22"/>
          <w:lang w:val="pt-BR"/>
        </w:rPr>
        <w:t xml:space="preserve"> Parasitologia Humana. São Paulo: Atheneu, parte 18, v.11, p.147-156, 2002.</w:t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  <w:t xml:space="preserve">Porto AMF, Amorim MMR, Coelho ICN, Santos LC. </w:t>
      </w:r>
      <w:r>
        <w:rPr>
          <w:rFonts w:cs="Arial" w:ascii="Arial" w:hAnsi="Arial"/>
          <w:i/>
          <w:iCs/>
          <w:sz w:val="22"/>
          <w:szCs w:val="22"/>
          <w:lang w:val="pt-BR"/>
        </w:rPr>
        <w:t>Perfil sorológico para toxoplasmose em gestantes atendidas em maternidade.</w:t>
      </w:r>
      <w:r>
        <w:rPr>
          <w:rFonts w:cs="Arial" w:ascii="Arial" w:hAnsi="Arial"/>
          <w:sz w:val="22"/>
          <w:szCs w:val="22"/>
          <w:lang w:val="pt-BR"/>
        </w:rPr>
        <w:t xml:space="preserve"> Rev Assoc Med Bras. 2008; 54(3):242-8.</w:t>
      </w:r>
    </w:p>
    <w:p>
      <w:pPr>
        <w:pStyle w:val="LOnormal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  <w:lang w:val="pt-BR"/>
        </w:rPr>
        <w:t xml:space="preserve">Suárez-Hernándes M, González-Fernández A, Gardón-Quirola BY, Martínez-Sánchez R </w:t>
      </w:r>
      <w:r>
        <w:rPr>
          <w:rFonts w:cs="Arial" w:ascii="Arial" w:hAnsi="Arial"/>
          <w:i/>
          <w:iCs/>
          <w:sz w:val="22"/>
          <w:szCs w:val="22"/>
          <w:lang w:val="pt-BR"/>
        </w:rPr>
        <w:t>Infección y enfermedad por Toxoplasma gondii en animales y humanos en 23 años de observación en la provincia de Ciego de Ávila, Cuba.</w:t>
      </w:r>
      <w:r>
        <w:rPr>
          <w:rFonts w:cs="Arial" w:ascii="Arial" w:hAnsi="Arial"/>
          <w:sz w:val="22"/>
          <w:szCs w:val="22"/>
          <w:lang w:val="pt-BR"/>
        </w:rPr>
        <w:t xml:space="preserve"> </w:t>
      </w:r>
      <w:r>
        <w:rPr>
          <w:rFonts w:cs="Arial" w:ascii="Arial" w:hAnsi="Arial"/>
          <w:sz w:val="22"/>
          <w:szCs w:val="22"/>
        </w:rPr>
        <w:t>Rev Biomed (México). 2005; 16(1): 21-7</w:t>
      </w:r>
      <w:bookmarkStart w:id="4" w:name="_GoBack"/>
      <w:bookmarkEnd w:id="4"/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</w:rPr>
      </w:r>
    </w:p>
    <w:p>
      <w:pPr>
        <w:pStyle w:val="LOnormal"/>
        <w:spacing w:lineRule="auto" w:line="276" w:before="0" w:after="140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</w:rPr>
      </w:r>
    </w:p>
    <w:p>
      <w:pPr>
        <w:pStyle w:val="LOnormal"/>
        <w:ind w:right="284" w:hanging="0"/>
        <w:jc w:val="both"/>
        <w:rPr/>
      </w:pPr>
      <w:r>
        <w:rPr/>
      </w:r>
    </w:p>
    <w:sectPr>
      <w:headerReference w:type="default" r:id="rId3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ind w:left="-1418" w:right="-1418" w:hanging="0"/>
      <w:rPr/>
    </w:pPr>
    <w:r>
      <w:rPr/>
      <w:drawing>
        <wp:inline distT="0" distB="0" distL="0" distR="0">
          <wp:extent cx="7543800" cy="1057275"/>
          <wp:effectExtent l="0" t="0" r="0" b="0"/>
          <wp:docPr id="1" name="officeArt object" descr="Cabeçalho SBS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ficeArt object" descr="Cabeçalho SBSS-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5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pBdr/>
      <w:suppressAutoHyphens w:val="fals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ce6cf2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d65b77"/>
    <w:rPr>
      <w:sz w:val="24"/>
      <w:szCs w:val="24"/>
      <w:lang w:val="en-US" w:eastAsia="en-US"/>
    </w:rPr>
  </w:style>
  <w:style w:type="character" w:styleId="RodapChar" w:customStyle="1">
    <w:name w:val="Rodapé Char"/>
    <w:basedOn w:val="DefaultParagraphFont"/>
    <w:link w:val="Rodap"/>
    <w:uiPriority w:val="99"/>
    <w:qFormat/>
    <w:rsid w:val="00d65b77"/>
    <w:rPr>
      <w:sz w:val="24"/>
      <w:szCs w:val="24"/>
      <w:lang w:val="en-US" w:eastAsia="en-US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 w:customStyle="1">
    <w:name w:val="LO-normal"/>
    <w:qFormat/>
    <w:pPr>
      <w:widowControl/>
      <w:pBdr/>
      <w:suppressAutoHyphens w:val="true"/>
      <w:bidi w:val="0"/>
      <w:spacing w:before="0" w:after="0"/>
      <w:jc w:val="left"/>
    </w:pPr>
    <w:rPr>
      <w:rFonts w:ascii="Cambria" w:hAnsi="Cambria" w:cs="Arial Unicode MS" w:eastAsia="Arial Unicode MS"/>
      <w:color w:val="00000A"/>
      <w:kern w:val="0"/>
      <w:sz w:val="24"/>
      <w:szCs w:val="24"/>
      <w:u w:val="none" w:color="00000A"/>
      <w:lang w:val="en-US" w:eastAsia="pt-BR" w:bidi="ar-SA"/>
    </w:rPr>
  </w:style>
  <w:style w:type="paragraph" w:styleId="CabealhoeRodap" w:customStyle="1">
    <w:name w:val="Cabeçalho e Rodapé"/>
    <w:qFormat/>
    <w:pPr>
      <w:widowControl/>
      <w:pBdr/>
      <w:tabs>
        <w:tab w:val="clear" w:pos="720"/>
        <w:tab w:val="right" w:pos="9020" w:leader="none"/>
      </w:tabs>
      <w:bidi w:val="0"/>
      <w:spacing w:before="0" w:after="0"/>
      <w:jc w:val="left"/>
    </w:pPr>
    <w:rPr>
      <w:rFonts w:ascii="Helvetica Neue" w:hAnsi="Helvetica Neue" w:cs="Arial Unicode MS" w:eastAsia="Arial Unicode MS"/>
      <w:color w:val="000000"/>
      <w:kern w:val="0"/>
      <w:sz w:val="24"/>
      <w:szCs w:val="24"/>
      <w:lang w:val="pt-BR" w:eastAsia="pt-BR" w:bidi="ar-SA"/>
      <w14:textOutline w14:w="0" w14:cap="flat" w14:cmpd="sng" w14:algn="ctr">
        <w14:noFill/>
        <w14:prstDash w14:val="solid"/>
        <w14:bevel/>
      </w14:textOutline>
    </w:rPr>
  </w:style>
  <w:style w:type="paragraph" w:styleId="Cabealho">
    <w:name w:val="Header"/>
    <w:basedOn w:val="Normal"/>
    <w:link w:val="CabealhoChar"/>
    <w:uiPriority w:val="99"/>
    <w:unhideWhenUsed/>
    <w:rsid w:val="00d65b7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d65b77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udesc.br/arquivos/ceo/id_cpmenu/1043/caderno_udesc_103_15198215155139_1043.pdf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LibreOffice/7.2.1.2$Windows_X86_64 LibreOffice_project/87b77fad49947c1441b67c559c339af8f3517e22</Application>
  <AppVersion>15.0000</AppVersion>
  <Pages>2</Pages>
  <Words>790</Words>
  <Characters>4540</Characters>
  <CharactersWithSpaces>5318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2023-10-01T16:58:00Z</dcterms:created>
  <dc:creator>Karla Escopelli</dc:creator>
  <dc:description/>
  <dc:language>pt-BR</dc:language>
  <cp:lastModifiedBy/>
  <dcterms:modified xsi:type="dcterms:W3CDTF">2023-10-04T10:03:18Z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