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/>
        <w:ind w:right="280" w:hanging="0"/>
        <w:jc w:val="center"/>
        <w:rPr>
          <w:rFonts w:ascii="Cambria" w:hAnsi="Cambria" w:eastAsia="Cambria" w:cs="Cambria"/>
          <w:color w:val="00000A"/>
        </w:rPr>
      </w:pPr>
      <w:r>
        <w:rPr>
          <w:rFonts w:eastAsia="Cambria" w:cs="Cambria" w:ascii="Cambria" w:hAnsi="Cambria"/>
          <w:color w:val="00000A"/>
        </w:rPr>
      </w:r>
    </w:p>
    <w:p>
      <w:pPr>
        <w:pStyle w:val="LOnormal"/>
        <w:spacing w:lineRule="auto" w:line="276"/>
        <w:ind w:right="280" w:hanging="0"/>
        <w:jc w:val="center"/>
        <w:rPr>
          <w:rFonts w:ascii="Arial" w:hAnsi="Arial" w:eastAsia="Arial"/>
          <w:b/>
          <w:b/>
          <w:bCs/>
          <w:color w:val="000000"/>
          <w:sz w:val="28"/>
          <w:szCs w:val="28"/>
        </w:rPr>
      </w:pPr>
      <w:r>
        <w:rPr>
          <w:rFonts w:eastAsia="Arial" w:ascii="Arial" w:hAnsi="Arial"/>
          <w:b/>
          <w:bCs/>
          <w:color w:val="000000"/>
          <w:sz w:val="28"/>
          <w:szCs w:val="28"/>
        </w:rPr>
        <w:t>CARACTERIZAÇÃO MICROBIOLÓGICA DA SILAGEM DE BAGAÇO DE MAÇÃ</w:t>
      </w:r>
    </w:p>
    <w:p>
      <w:pPr>
        <w:pStyle w:val="LOnormal"/>
        <w:ind w:right="284" w:hanging="0"/>
        <w:jc w:val="center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ind w:right="284" w:hanging="0"/>
        <w:jc w:val="center"/>
        <w:rPr>
          <w:rFonts w:ascii="Arial" w:hAnsi="Arial" w:eastAsia="Arial"/>
          <w:color w:val="000000"/>
          <w:sz w:val="20"/>
          <w:szCs w:val="20"/>
        </w:rPr>
      </w:pPr>
      <w:r>
        <w:rPr>
          <w:rFonts w:eastAsia="Arial" w:ascii="Arial" w:hAnsi="Arial"/>
          <w:color w:val="000000"/>
          <w:sz w:val="20"/>
          <w:szCs w:val="20"/>
        </w:rPr>
        <w:t>João Frederico Mangrich dos Passos</w:t>
      </w:r>
      <w:r>
        <w:rPr>
          <w:rFonts w:eastAsia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ascii="Arial" w:hAnsi="Arial"/>
          <w:color w:val="000000"/>
          <w:sz w:val="20"/>
          <w:szCs w:val="20"/>
        </w:rPr>
        <w:t>, Sandra Denise Camargo Mendes</w:t>
      </w:r>
      <w:r>
        <w:rPr>
          <w:rFonts w:eastAsia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ascii="Arial" w:hAnsi="Arial"/>
          <w:color w:val="000000"/>
          <w:sz w:val="20"/>
          <w:szCs w:val="20"/>
        </w:rPr>
        <w:t>, Vanessa Ruiz Favaro</w:t>
      </w:r>
      <w:r>
        <w:rPr>
          <w:rFonts w:eastAsia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ascii="Arial" w:hAnsi="Arial"/>
          <w:color w:val="000000"/>
          <w:sz w:val="20"/>
          <w:szCs w:val="20"/>
        </w:rPr>
        <w:t>, Cristiano Nunes Nesi</w:t>
      </w:r>
      <w:r>
        <w:rPr>
          <w:rFonts w:eastAsia="Arial" w:ascii="Arial" w:hAnsi="Arial"/>
          <w:color w:val="000000"/>
          <w:sz w:val="20"/>
          <w:szCs w:val="20"/>
          <w:vertAlign w:val="superscript"/>
        </w:rPr>
        <w:t>2</w:t>
      </w:r>
    </w:p>
    <w:p>
      <w:pPr>
        <w:pStyle w:val="LOnormal"/>
        <w:ind w:right="284" w:hanging="0"/>
        <w:jc w:val="center"/>
        <w:rPr>
          <w:rFonts w:ascii="Arial" w:hAnsi="Arial" w:eastAsia="Arial"/>
          <w:color w:val="000000"/>
          <w:sz w:val="20"/>
          <w:szCs w:val="20"/>
        </w:rPr>
      </w:pPr>
      <w:r>
        <w:rPr>
          <w:rFonts w:eastAsia="Arial" w:ascii="Arial" w:hAnsi="Arial"/>
          <w:color w:val="000000"/>
          <w:sz w:val="20"/>
          <w:szCs w:val="20"/>
        </w:rPr>
      </w:r>
    </w:p>
    <w:p>
      <w:pPr>
        <w:pStyle w:val="LOnormal"/>
        <w:ind w:right="284" w:hanging="0"/>
        <w:jc w:val="center"/>
        <w:rPr>
          <w:rFonts w:ascii="Arial" w:hAnsi="Arial" w:eastAsia="Arial"/>
          <w:color w:val="000000"/>
          <w:sz w:val="20"/>
          <w:szCs w:val="20"/>
          <w:vertAlign w:val="superscript"/>
        </w:rPr>
      </w:pPr>
      <w:r>
        <w:rPr>
          <w:rFonts w:eastAsia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ascii="Arial" w:hAnsi="Arial"/>
          <w:color w:val="000000"/>
          <w:sz w:val="20"/>
          <w:szCs w:val="20"/>
        </w:rPr>
        <w:t xml:space="preserve">Estação Experimental de Lages (EEL), </w:t>
      </w:r>
      <w:r>
        <w:rPr>
          <w:rFonts w:eastAsia="Arial" w:ascii="Arial" w:hAnsi="Arial"/>
          <w:color w:val="000000"/>
          <w:sz w:val="20"/>
          <w:szCs w:val="20"/>
          <w:vertAlign w:val="superscript"/>
        </w:rPr>
        <w:t>2</w:t>
      </w:r>
      <w:r>
        <w:rPr>
          <w:rFonts w:eastAsia="Arial" w:ascii="Arial" w:hAnsi="Arial"/>
          <w:color w:val="000000"/>
          <w:sz w:val="20"/>
          <w:szCs w:val="20"/>
        </w:rPr>
        <w:t>Centro de Pesquisa para Agricultura Familiar (Cepaf), E-mail: joaopassos@epagri.sc.gov.br</w:t>
      </w:r>
    </w:p>
    <w:p>
      <w:pPr>
        <w:pStyle w:val="LOnormal"/>
        <w:ind w:right="284" w:hanging="0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b/>
          <w:bCs/>
          <w:color w:val="000000"/>
          <w:sz w:val="22"/>
          <w:szCs w:val="22"/>
        </w:rPr>
        <w:t>Contribuição para a sociedade</w:t>
      </w:r>
      <w:r>
        <w:rPr>
          <w:rFonts w:eastAsia="Arial" w:ascii="Arial" w:hAnsi="Arial"/>
          <w:color w:val="000000"/>
          <w:sz w:val="22"/>
          <w:szCs w:val="22"/>
        </w:rPr>
        <w:t>: a região Sul do Brasil é a maior produtora de maçã, consequentemente o processamento resulta na produção do bagaço da maçã. O bagaço de maçã constitui um resÍduo agroindustrial perecível, devido à alta umidade e grande concentração de nutrientes. Uma forma de usar o resíduo da indústria é o processamento de maçã é como ensilagem, dando um destino ambientalmente correto.  Desta forma,   a formulação com bagaço de maçã misturado com casca de soja como ensilagem, foi capaz de promover o crescimento de bactérias ácido lácticas que promoveu melhor a conservação e qualidade nutricional oferecendo uma alternativa para o vazio forrageiro entre as estações de verão e inverno.</w:t>
      </w:r>
    </w:p>
    <w:p>
      <w:pPr>
        <w:pStyle w:val="LOnormal"/>
        <w:widowControl/>
        <w:suppressAutoHyphens w:val="true"/>
        <w:bidi w:val="0"/>
        <w:spacing w:before="0" w:after="0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jc w:val="both"/>
        <w:rPr/>
      </w:pPr>
      <w:r>
        <w:drawing>
          <wp:anchor behindDoc="0" distT="152400" distB="152400" distL="152400" distR="152400" simplePos="0" locked="0" layoutInCell="0" allowOverlap="1" relativeHeight="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1" name="image1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color w:val="000000"/>
          <w:sz w:val="22"/>
          <w:szCs w:val="22"/>
        </w:rPr>
        <w:t>Palavras-chave</w:t>
      </w:r>
      <w:r>
        <w:rPr>
          <w:rFonts w:ascii="Arial" w:hAnsi="Arial"/>
          <w:color w:val="000000"/>
          <w:sz w:val="22"/>
          <w:szCs w:val="22"/>
        </w:rPr>
        <w:t xml:space="preserve">: </w:t>
      </w:r>
      <w:r>
        <w:rPr>
          <w:rFonts w:eastAsia="Arial" w:ascii="Arial" w:hAnsi="Arial"/>
          <w:color w:val="000000"/>
          <w:sz w:val="22"/>
          <w:szCs w:val="22"/>
        </w:rPr>
        <w:t>microrganismos fermentativos, nutrição animal, resíduo agroindustrial</w:t>
      </w:r>
      <w:r>
        <w:rPr>
          <w:rFonts w:ascii="Arial" w:hAnsi="Arial"/>
          <w:color w:val="000000"/>
          <w:sz w:val="22"/>
          <w:szCs w:val="22"/>
        </w:rPr>
        <w:t>.</w:t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/>
          <w:bCs/>
          <w:color w:val="000000"/>
          <w:sz w:val="22"/>
          <w:szCs w:val="22"/>
        </w:rPr>
      </w:pPr>
      <w:r>
        <w:rPr>
          <w:rFonts w:eastAsia="Arial" w:ascii="Arial" w:hAnsi="Arial"/>
          <w:b/>
          <w:bCs/>
          <w:color w:val="000000"/>
          <w:sz w:val="22"/>
          <w:szCs w:val="22"/>
        </w:rPr>
        <w:t xml:space="preserve">Introdução: </w:t>
      </w:r>
      <w:r>
        <w:rPr>
          <w:rFonts w:eastAsia="Arial" w:ascii="Arial" w:hAnsi="Arial"/>
          <w:bCs/>
          <w:color w:val="000000"/>
          <w:sz w:val="22"/>
          <w:szCs w:val="22"/>
        </w:rPr>
        <w:t>O Brasil é um país de intensa atividade agrícola e grande gerador de resíduos agroindustriais. O acúmulo desses resíduos causa impactos econômicos e ambientais, porque exige gasto de energia para o transporte até aterros sanitários, ou quando isso não é possível, ficam estocados próximos às indústrias, ocasionando eventuais problemas sanitários e ambientais, visto que produzem gases e liberam substâncias que promovem contaminação do lençol freático. O estado de Santa Catarina é o maior produtor de maçã do país, com média de 600.000 toneladas anuais (Epagri/Cepa, 2018) o processamento da fruta resulta na produção do bagaço da maçã, que equivale a 25% do peso da fruta e apresenta baixo valor comercial devido ao seu reduzido teor proteico.</w:t>
      </w:r>
      <w:r>
        <w:rPr>
          <w:rFonts w:eastAsia="Arial" w:ascii="Arial" w:hAnsi="Arial"/>
          <w:b/>
          <w:bCs/>
          <w:color w:val="000000"/>
          <w:sz w:val="22"/>
          <w:szCs w:val="22"/>
        </w:rPr>
        <w:t xml:space="preserve"> </w:t>
      </w:r>
      <w:r>
        <w:rPr>
          <w:rFonts w:eastAsia="Arial" w:ascii="Arial" w:hAnsi="Arial"/>
          <w:bCs/>
          <w:color w:val="000000"/>
          <w:sz w:val="22"/>
          <w:szCs w:val="22"/>
        </w:rPr>
        <w:t xml:space="preserve">Uma das alternativas para utilização do bagaço de maçã é a alimentação de ruminantes, contudo, na maioria das vezes, esse resíduo é estocado nas propriedades de forma descontrolada e ao ar livre, gerando perdas no valor nutricional, resultado do armazenamento de forma incorreta.O uso de resíduos gerados pelas agroindústrias na alimentação animal, contribui para redução dos custos e melhora o aspecto ambiental, pois dá destinação a materiais que seriam descartados. O principal entrave para utilização do bagaço de maçã é o alto teor de umidade. Dessa forma os métodos de conservação, para esse resíduo, deve ser empregado.  O objetivo foi avaliar a conservação do bagaço de maçã na forma de silagem através da utilização de aditivos sequestrantes de umidade e os efeitos sobre a característica microbiológica. Para tanto conduziu-se um experimento na Estação Experimental de Lages (EEL), com o bagaço de maçã </w:t>
      </w:r>
      <w:r>
        <w:rPr>
          <w:rFonts w:eastAsia="Arial" w:ascii="Arial" w:hAnsi="Arial"/>
          <w:bCs/>
          <w:i/>
          <w:color w:val="000000"/>
          <w:sz w:val="22"/>
          <w:szCs w:val="22"/>
        </w:rPr>
        <w:t xml:space="preserve">in natura. </w:t>
      </w:r>
      <w:r>
        <w:rPr>
          <w:rFonts w:eastAsia="Arial" w:ascii="Arial" w:hAnsi="Arial"/>
          <w:bCs/>
          <w:color w:val="000000"/>
          <w:sz w:val="22"/>
          <w:szCs w:val="22"/>
        </w:rPr>
        <w:t xml:space="preserve"> Foram preparados dois silos em escala industrial de 15 toneladas. Um com bagaço de maçã in natura e outro com uma mistura do bagaço de maçã com o aditivo (casca de soja). </w:t>
      </w:r>
    </w:p>
    <w:p>
      <w:pPr>
        <w:pStyle w:val="LOnormal"/>
        <w:jc w:val="both"/>
        <w:rPr>
          <w:rFonts w:ascii="Arial" w:hAnsi="Arial" w:eastAsia="Arial"/>
          <w:b/>
          <w:b/>
          <w:color w:val="000000"/>
          <w:sz w:val="22"/>
          <w:szCs w:val="22"/>
        </w:rPr>
      </w:pPr>
      <w:r>
        <w:rPr>
          <w:rFonts w:eastAsia="Arial" w:ascii="Arial" w:hAnsi="Arial"/>
          <w:b/>
          <w:color w:val="000000"/>
          <w:sz w:val="22"/>
          <w:szCs w:val="22"/>
        </w:rPr>
      </w:r>
    </w:p>
    <w:p>
      <w:pPr>
        <w:pStyle w:val="LOnormal"/>
        <w:jc w:val="both"/>
        <w:rPr/>
      </w:pPr>
      <w:bookmarkStart w:id="0" w:name="_headingh.30j0zll"/>
      <w:bookmarkEnd w:id="0"/>
      <w:r>
        <w:rPr>
          <w:rFonts w:ascii="Arial" w:hAnsi="Arial"/>
          <w:b/>
          <w:bCs/>
          <w:color w:val="000000"/>
          <w:sz w:val="22"/>
          <w:szCs w:val="22"/>
        </w:rPr>
        <w:t>Material e métodos:</w:t>
      </w:r>
      <w:r>
        <w:rPr>
          <w:rFonts w:ascii="Arial" w:hAnsi="Arial"/>
          <w:color w:val="000000"/>
          <w:sz w:val="22"/>
          <w:szCs w:val="22"/>
        </w:rPr>
        <w:t xml:space="preserve"> </w:t>
      </w:r>
      <w:r>
        <w:rPr>
          <w:rFonts w:eastAsia="Arial" w:ascii="Arial" w:hAnsi="Arial"/>
          <w:color w:val="000000"/>
          <w:sz w:val="22"/>
          <w:szCs w:val="22"/>
        </w:rPr>
        <w:t>para a avaliação da silagem do bagaço de maçã</w:t>
      </w:r>
      <w:r>
        <w:rPr>
          <w:rFonts w:eastAsia="Arial" w:ascii="Arial" w:hAnsi="Arial"/>
          <w:i/>
          <w:color w:val="000000"/>
          <w:sz w:val="22"/>
          <w:szCs w:val="22"/>
        </w:rPr>
        <w:t xml:space="preserve"> </w:t>
      </w:r>
      <w:r>
        <w:rPr>
          <w:rFonts w:eastAsia="Arial" w:ascii="Arial" w:hAnsi="Arial"/>
          <w:color w:val="000000"/>
          <w:sz w:val="22"/>
          <w:szCs w:val="22"/>
        </w:rPr>
        <w:t>realizou-se um</w:t>
      </w:r>
      <w:r>
        <w:rPr>
          <w:rFonts w:eastAsia="Arial" w:ascii="Arial" w:hAnsi="Arial"/>
          <w:color w:val="00000A"/>
          <w:sz w:val="22"/>
          <w:szCs w:val="22"/>
        </w:rPr>
        <w:t xml:space="preserve"> experimento conduzido na Estação Experimental de Lages (EEL), o bagaço de maçã </w:t>
      </w:r>
      <w:r>
        <w:rPr>
          <w:rFonts w:eastAsia="Arial" w:ascii="Arial" w:hAnsi="Arial"/>
          <w:i/>
          <w:color w:val="00000A"/>
          <w:sz w:val="22"/>
          <w:szCs w:val="22"/>
        </w:rPr>
        <w:t xml:space="preserve">in natura </w:t>
      </w:r>
      <w:r>
        <w:rPr>
          <w:rFonts w:eastAsia="Arial" w:ascii="Arial" w:hAnsi="Arial"/>
          <w:color w:val="00000A"/>
          <w:sz w:val="22"/>
          <w:szCs w:val="22"/>
        </w:rPr>
        <w:t xml:space="preserve">foi fornecido por uma empresa comercial.  A silagem foi produzida em dois silos  conforme.  </w:t>
      </w:r>
      <w:r>
        <w:rPr>
          <w:rFonts w:eastAsia="Arial" w:ascii="Arial" w:hAnsi="Arial"/>
          <w:color w:val="000000"/>
          <w:sz w:val="22"/>
          <w:szCs w:val="22"/>
        </w:rPr>
        <w:t xml:space="preserve">O delineamento experimental, inteiramente casualizado,  com medidas repetidas no tempo. Foram avaliados dois tratamentos: 1) silagem de bagaço de maçã in natura;  2) silagem de bagaço de maçã com casca de soja. Utilizou-se três repetições para cada tratamento e coletados em sete períodos durantes 6 meses, totalizando 21 repetições por tratamento. </w:t>
      </w:r>
    </w:p>
    <w:p>
      <w:pPr>
        <w:pStyle w:val="LOnormal"/>
        <w:jc w:val="both"/>
        <w:rPr/>
      </w:pPr>
      <w:r>
        <w:rPr>
          <w:rFonts w:eastAsia="Arial" w:ascii="Arial" w:hAnsi="Arial"/>
          <w:i/>
          <w:sz w:val="22"/>
          <w:szCs w:val="22"/>
        </w:rPr>
        <w:tab/>
      </w:r>
      <w:r>
        <w:rPr>
          <w:rFonts w:eastAsia="Arial" w:ascii="Arial" w:hAnsi="Arial"/>
          <w:sz w:val="22"/>
          <w:szCs w:val="22"/>
        </w:rPr>
        <w:t xml:space="preserve">O bagaço in natura foi colocado diretamente em silo tipo trincheira (aproximadamente 15 toneladas). Para outro silo foi usado o bagaço de maçã com o aditivo sequestrante de umidade </w:t>
      </w:r>
      <w:r>
        <w:rPr>
          <w:rFonts w:ascii="Arial" w:hAnsi="Arial"/>
          <w:sz w:val="22"/>
          <w:szCs w:val="22"/>
        </w:rPr>
        <w:t xml:space="preserve">(casca de soja). </w:t>
      </w:r>
      <w:r>
        <w:rPr>
          <w:rFonts w:eastAsia="Arial" w:ascii="Arial" w:hAnsi="Arial"/>
          <w:sz w:val="22"/>
          <w:szCs w:val="22"/>
        </w:rPr>
        <w:t xml:space="preserve">O ingrediente foi adicionado ao bagaço na proporção de 20%.  Os silos permaceram vedados com lonas por 60 dias. </w:t>
      </w:r>
    </w:p>
    <w:p>
      <w:pPr>
        <w:pStyle w:val="LOnormal"/>
        <w:jc w:val="both"/>
        <w:rPr>
          <w:rFonts w:ascii="Arial" w:hAnsi="Arial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Após a abertura dos silos para avaliação do processo de fermentação das silagens produzidas nos dois silos foram realizadas coletas conforme o delineamento experimental descrito acima. Para análise microbiológica colocou-se 10g de silagem em 90mL de solução salina (0,8</w:t>
      </w:r>
      <w:r>
        <w:rPr>
          <w:rFonts w:eastAsia="Arial" w:ascii="Arial" w:hAnsi="Arial"/>
          <w:color w:val="000000"/>
          <w:sz w:val="22"/>
          <w:szCs w:val="22"/>
        </w:rPr>
        <w:t>% NaCl) para obtenção da primeira diluição seriada de ensilagens. Dessas diluições, 0,1 mL foi retirado e semeado em placas de Petri descartáveis contendo os seguintes meios: Potato Dextrose Agar (PDA) com 0,04% de cloranfenicol para contagem de fungos e leveduras.  A semeadura de 1 mL, foi usado para contagem de bactérias ácido lácticas (BAL),  incubou-se a 28  ± 1°C por 72 h. Para a contagem de Clostridium, após a semeadura de 1 mL, foi adicionado 20mL de Reinforced Clostridial Agar (RCA). A incubação das placas foi a 35 ± 1°C em anaerobiose por 48h. Apás a semeadura de 1mL, foi adicionado Ágar Violeta Red Bile (KASVI) para contagem de Enterobactérias, após incubação por 24 a 48 horas, à temperatura de 35°C. Os números de colônias foram contados como unidade formadora de colônias (UFC) e transformados em logarítmo na base 10 para executar a análise estatística.  Utilizando o software R (R team core 2013) os dados coletados foram submetidos à análise homogeneidade de variância (teste de bartlett) e normalidade dos resíduos (test de shapiro-wilk). Foi realizada análise de variância (aov procedure) e, quando constatados efeito significativo dos tratamentos (P&lt;0,05), as médias foram comparadas pelo teste de Duncan.</w:t>
      </w:r>
    </w:p>
    <w:p>
      <w:pPr>
        <w:pStyle w:val="LOnormal"/>
        <w:jc w:val="both"/>
        <w:rPr>
          <w:rFonts w:ascii="Arial" w:hAnsi="Arial" w:eastAsia="Arial"/>
          <w:color w:val="00000A"/>
          <w:sz w:val="22"/>
          <w:szCs w:val="22"/>
        </w:rPr>
      </w:pPr>
      <w:r>
        <w:rPr>
          <w:rFonts w:eastAsia="Arial" w:ascii="Arial" w:hAnsi="Arial"/>
          <w:color w:val="00000A"/>
          <w:sz w:val="22"/>
          <w:szCs w:val="22"/>
        </w:rPr>
      </w:r>
    </w:p>
    <w:p>
      <w:pPr>
        <w:pStyle w:val="LOnormal"/>
        <w:jc w:val="both"/>
        <w:rPr>
          <w:rFonts w:ascii="Arial" w:hAnsi="Arial" w:eastAsia="Times New Roman" w:cs="Times New Roman"/>
          <w:color w:val="000000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Resultados e discussões:</w:t>
      </w:r>
      <w:r>
        <w:rPr>
          <w:rFonts w:ascii="Arial" w:hAnsi="Arial"/>
          <w:color w:val="000000"/>
          <w:sz w:val="22"/>
          <w:szCs w:val="22"/>
        </w:rPr>
        <w:t xml:space="preserve"> os</w:t>
      </w:r>
      <w:r>
        <w:rPr>
          <w:rFonts w:eastAsia="Times New Roman" w:cs="Times New Roman" w:ascii="Arial" w:hAnsi="Arial"/>
          <w:color w:val="000000"/>
          <w:sz w:val="22"/>
          <w:szCs w:val="22"/>
        </w:rPr>
        <w:t xml:space="preserve"> resultados foram obtidos por meio da contagem dos microrganismos que estão associados às perdas durante a ensilagem, ocasionadas pela deterioração anaeróbia, como os </w:t>
      </w:r>
      <w:r>
        <w:rPr>
          <w:rFonts w:eastAsia="Times New Roman" w:cs="Times New Roman" w:ascii="Arial" w:hAnsi="Arial"/>
          <w:i/>
          <w:iCs/>
          <w:color w:val="000000"/>
          <w:sz w:val="22"/>
          <w:szCs w:val="22"/>
        </w:rPr>
        <w:t>Clostridium</w:t>
      </w:r>
      <w:r>
        <w:rPr>
          <w:rFonts w:eastAsia="Times New Roman" w:cs="Times New Roman" w:ascii="Arial" w:hAnsi="Arial"/>
          <w:color w:val="000000"/>
          <w:sz w:val="22"/>
          <w:szCs w:val="22"/>
        </w:rPr>
        <w:t xml:space="preserve"> spp., Enterobactérias, BAL e Bolores e leveduras.</w:t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column">
                  <wp:posOffset>990600</wp:posOffset>
                </wp:positionH>
                <wp:positionV relativeFrom="paragraph">
                  <wp:posOffset>1725930</wp:posOffset>
                </wp:positionV>
                <wp:extent cx="274320" cy="177165"/>
                <wp:effectExtent l="0" t="0" r="0" b="0"/>
                <wp:wrapNone/>
                <wp:docPr id="2" name="Quadro de tex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00" cy="176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overflowPunct w:val="fals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(A)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Quadro de texto 3" path="m0,0l-2147483645,0l-2147483645,-2147483646l0,-2147483646xe" stroked="f" o:allowincell="f" style="position:absolute;margin-left:78pt;margin-top:135.9pt;width:21.5pt;height:13.8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overflowPunct w:val="fals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3870960</wp:posOffset>
                </wp:positionH>
                <wp:positionV relativeFrom="paragraph">
                  <wp:posOffset>1725930</wp:posOffset>
                </wp:positionV>
                <wp:extent cx="274320" cy="177165"/>
                <wp:effectExtent l="0" t="0" r="0" b="0"/>
                <wp:wrapNone/>
                <wp:docPr id="4" name="Quadro de text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00" cy="176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overflowPunct w:val="fals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(B)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Quadro de texto 4" path="m0,0l-2147483645,0l-2147483645,-2147483646l0,-2147483646xe" stroked="f" o:allowincell="f" style="position:absolute;margin-left:304.8pt;margin-top:135.9pt;width:21.5pt;height:13.8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overflowPunct w:val="fals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>​​​​</w:t>
      </w:r>
      <w:r>
        <w:rPr/>
        <w:drawing>
          <wp:inline distT="0" distB="0" distL="0" distR="0">
            <wp:extent cx="5759450" cy="1700530"/>
            <wp:effectExtent l="0" t="0" r="0" b="0"/>
            <wp:docPr id="6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0" r="0" b="6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A"/>
          <w:sz w:val="22"/>
          <w:szCs w:val="22"/>
        </w:rPr>
        <w:t>Figura 1. Contagens em silos de bagaço de maçã in natura (A) e com bagaço de maçã + casca de soja (B), com abertura a partir de 40 dias após o preparo do silo.</w:t>
      </w:r>
    </w:p>
    <w:p>
      <w:pPr>
        <w:pStyle w:val="LOnormal"/>
        <w:jc w:val="both"/>
        <w:rPr>
          <w:rFonts w:ascii="Arial" w:hAnsi="Arial" w:eastAsia="Arial"/>
          <w:color w:val="00000A"/>
          <w:sz w:val="22"/>
          <w:szCs w:val="22"/>
        </w:rPr>
      </w:pPr>
      <w:r>
        <w:rPr>
          <w:rFonts w:eastAsia="Arial" w:ascii="Arial" w:hAnsi="Arial"/>
          <w:color w:val="00000A"/>
          <w:sz w:val="22"/>
          <w:szCs w:val="22"/>
        </w:rPr>
        <w:t>Fonte: Autores</w:t>
      </w:r>
    </w:p>
    <w:p>
      <w:pPr>
        <w:pStyle w:val="LOnormal"/>
        <w:jc w:val="both"/>
        <w:rPr>
          <w:rFonts w:ascii="Arial" w:hAnsi="Arial" w:eastAsia="Arial"/>
          <w:color w:val="00000A"/>
          <w:sz w:val="22"/>
          <w:szCs w:val="22"/>
        </w:rPr>
      </w:pPr>
      <w:r>
        <w:rPr>
          <w:rFonts w:eastAsia="Arial" w:ascii="Arial" w:hAnsi="Arial"/>
          <w:color w:val="00000A"/>
          <w:sz w:val="22"/>
          <w:szCs w:val="22"/>
        </w:rPr>
        <w:tab/>
        <w:t xml:space="preserve">Na figura 1 mostram que a contagem dos microrganismos avaliados das amostras dos tratamentos com bagaço de maçã in natura (A) e com bagaço de maçã adicionado de casca de soja (B), apresentaram valores alto </w:t>
      </w:r>
      <w:r>
        <w:rPr>
          <w:rFonts w:eastAsia="Arial" w:ascii="Arial" w:hAnsi="Arial"/>
          <w:i/>
          <w:iCs/>
          <w:color w:val="00000A"/>
          <w:sz w:val="22"/>
          <w:szCs w:val="22"/>
        </w:rPr>
        <w:t>Clostridium</w:t>
      </w:r>
      <w:r>
        <w:rPr>
          <w:rFonts w:eastAsia="Arial" w:ascii="Arial" w:hAnsi="Arial"/>
          <w:color w:val="00000A"/>
          <w:sz w:val="22"/>
          <w:szCs w:val="22"/>
        </w:rPr>
        <w:t xml:space="preserve"> sp. superiores aos econtrados por Ribeiro e Machado (2022) e Santos et al. (2023), não diferindo entre si. Observou-se que os valores de bactérias ácido lático encontrados foram altos em ambos os tratamentos, 6,19 e 6,41 log UFC/g, respectivamente, sendo superiores aos encontrados por Santos et al. (2023) no entanto não diferindo entre os dois tratamentos. No gráfico (A) observa-se uma queda nos valores da contagem microbiológica na coleta no dia 100, diminuindo os valores das bactérias ácido láticas, </w:t>
      </w:r>
      <w:r>
        <w:rPr>
          <w:rFonts w:eastAsia="Arial" w:ascii="Arial" w:hAnsi="Arial"/>
          <w:i/>
          <w:iCs/>
          <w:color w:val="00000A"/>
          <w:sz w:val="22"/>
          <w:szCs w:val="22"/>
        </w:rPr>
        <w:t>Clostridium</w:t>
      </w:r>
      <w:r>
        <w:rPr>
          <w:rFonts w:eastAsia="Arial" w:ascii="Arial" w:hAnsi="Arial"/>
          <w:color w:val="00000A"/>
          <w:sz w:val="22"/>
          <w:szCs w:val="22"/>
        </w:rPr>
        <w:t xml:space="preserve"> sp. e bolores e leveduras. Os altos valores.  encontrados de bolores e leveduras, principalmente no tratamento (B) após 120 dias indica a presença deteriorantes no silo. Valores condizentes com os encontrados por Ribeiro &amp; Machado (2022).</w:t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  <w:tab/>
      </w:r>
      <w:r>
        <w:rPr>
          <w:rFonts w:ascii="Arial" w:hAnsi="Arial"/>
          <w:b/>
          <w:bCs/>
          <w:color w:val="000000"/>
          <w:sz w:val="22"/>
          <w:szCs w:val="22"/>
        </w:rPr>
        <w:t xml:space="preserve">    </w:t>
      </w:r>
      <w:r>
        <w:rPr>
          <w:rFonts w:ascii="Arial" w:hAnsi="Arial"/>
          <w:color w:val="000000"/>
          <w:sz w:val="22"/>
          <w:szCs w:val="22"/>
        </w:rPr>
        <w:t xml:space="preserve">                   </w:t>
      </w:r>
    </w:p>
    <w:p>
      <w:pPr>
        <w:pStyle w:val="LOnormal"/>
        <w:jc w:val="both"/>
        <w:rPr/>
      </w:pPr>
      <w:r>
        <w:rPr>
          <w:rFonts w:ascii="Arial" w:hAnsi="Arial"/>
          <w:b/>
          <w:bCs/>
          <w:color w:val="000000"/>
          <w:sz w:val="22"/>
          <w:szCs w:val="22"/>
        </w:rPr>
        <w:t>Conclusão</w:t>
      </w:r>
      <w:r>
        <w:rPr>
          <w:rFonts w:ascii="Arial" w:hAnsi="Arial"/>
          <w:color w:val="000000"/>
          <w:sz w:val="22"/>
          <w:szCs w:val="22"/>
        </w:rPr>
        <w:t xml:space="preserve">: A presença de bactérias ácido lácticas (Bal) contribuiram para qualidade microbiológica e conservação das ensilagens pela produção de ácidos orgânicos como por exemplo ácido láctico que se destaram em ambos tratamentos. Embora, a presença de Bal  tenha interferido no crescimento de grupos como Enterobactérias (2,03 log/UFC/g) e bolores e leveduras  (4,08 log UFC/g), não houve redução de do </w:t>
      </w:r>
      <w:r>
        <w:rPr>
          <w:rFonts w:ascii="Arial" w:hAnsi="Arial"/>
          <w:i/>
          <w:iCs/>
          <w:color w:val="000000"/>
          <w:sz w:val="22"/>
          <w:szCs w:val="22"/>
        </w:rPr>
        <w:t>Clostridium</w:t>
      </w:r>
      <w:r>
        <w:rPr>
          <w:rFonts w:ascii="Arial" w:hAnsi="Arial"/>
          <w:color w:val="000000"/>
          <w:sz w:val="22"/>
          <w:szCs w:val="22"/>
        </w:rPr>
        <w:t xml:space="preserve"> sp em (6,86 log/UFC/g. que e desejavel para apresentar uma qualidade microbiológica satisfatória. </w:t>
      </w:r>
    </w:p>
    <w:p>
      <w:pPr>
        <w:pStyle w:val="LOnormal"/>
        <w:jc w:val="both"/>
        <w:rPr>
          <w:rFonts w:ascii="Arial" w:hAnsi="Arial" w:eastAsia="Arial"/>
          <w:b/>
          <w:b/>
          <w:bCs/>
          <w:color w:val="000000"/>
          <w:sz w:val="22"/>
          <w:szCs w:val="22"/>
        </w:rPr>
      </w:pPr>
      <w:r>
        <w:rPr>
          <w:rFonts w:eastAsia="Arial" w:ascii="Arial" w:hAnsi="Arial"/>
          <w:b/>
          <w:bCs/>
          <w:color w:val="000000"/>
          <w:sz w:val="22"/>
          <w:szCs w:val="22"/>
        </w:rPr>
      </w:r>
    </w:p>
    <w:p>
      <w:pPr>
        <w:pStyle w:val="LOnormal"/>
        <w:jc w:val="both"/>
        <w:rPr/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Referências: </w:t>
      </w:r>
      <w:r>
        <w:rPr>
          <w:rFonts w:eastAsia="Arial" w:ascii="Arial" w:hAnsi="Arial"/>
          <w:bCs/>
          <w:color w:val="000000"/>
          <w:sz w:val="22"/>
          <w:szCs w:val="22"/>
        </w:rPr>
        <w:t xml:space="preserve">EPAGRI-CEPA. Síntese Anual da Agricultura de Santa Catarina – 2017/2018. Florianópolis: Epagri/Cepa, 2018. 206p. </w:t>
      </w:r>
    </w:p>
    <w:p>
      <w:pPr>
        <w:pStyle w:val="LOnormal"/>
        <w:jc w:val="both"/>
        <w:rPr>
          <w:rFonts w:ascii="Arial" w:hAnsi="Arial" w:eastAsia="Arial"/>
          <w:bCs/>
          <w:color w:val="000000"/>
          <w:sz w:val="22"/>
          <w:szCs w:val="22"/>
        </w:rPr>
      </w:pPr>
      <w:r>
        <w:rPr>
          <w:rFonts w:eastAsia="Arial" w:ascii="Arial" w:hAnsi="Arial"/>
          <w:bCs/>
          <w:color w:val="000000"/>
          <w:sz w:val="22"/>
          <w:szCs w:val="22"/>
        </w:rPr>
      </w:r>
    </w:p>
    <w:p>
      <w:pPr>
        <w:pStyle w:val="LOnormal"/>
        <w:jc w:val="both"/>
        <w:rPr/>
      </w:pPr>
      <w:r>
        <w:rPr>
          <w:rFonts w:eastAsia="Arial" w:ascii="Arial" w:hAnsi="Arial"/>
          <w:bCs/>
          <w:color w:val="000000"/>
          <w:sz w:val="22"/>
          <w:szCs w:val="22"/>
        </w:rPr>
        <w:t>RIBEIRO, G. G. S.; MACHADO, D. H. G. Qualidade microbiológica de silagem de milho produzida na região de Patos de Minas – MG. Revista Perquirere, v.19, n.2, p.152-163, 2022.</w:t>
      </w:r>
    </w:p>
    <w:p>
      <w:pPr>
        <w:pStyle w:val="LOnormal"/>
        <w:jc w:val="both"/>
        <w:rPr>
          <w:rFonts w:ascii="Arial" w:hAnsi="Arial" w:eastAsia="Arial"/>
          <w:bCs/>
          <w:color w:val="000000"/>
          <w:sz w:val="22"/>
          <w:szCs w:val="22"/>
        </w:rPr>
      </w:pPr>
      <w:r>
        <w:rPr>
          <w:rFonts w:eastAsia="Arial" w:ascii="Arial" w:hAnsi="Arial"/>
          <w:bCs/>
          <w:color w:val="000000"/>
          <w:sz w:val="22"/>
          <w:szCs w:val="22"/>
        </w:rPr>
      </w:r>
    </w:p>
    <w:p>
      <w:pPr>
        <w:pStyle w:val="LOnormal"/>
        <w:jc w:val="both"/>
        <w:rPr/>
      </w:pPr>
      <w:r>
        <w:rPr>
          <w:rFonts w:eastAsia="Arial" w:ascii="Arial" w:hAnsi="Arial"/>
          <w:bCs/>
          <w:color w:val="000000"/>
          <w:sz w:val="22"/>
          <w:szCs w:val="22"/>
        </w:rPr>
        <w:t>SANTOS, L. F. X.; JÚNIOR, V. S. M.; VELOSO, A. C. R.; DUARTE, E. R.; BRAZ, T. G. S. Caracterização microbiológica e bromatológica da silagem de Capim-elefante inoculada com fungos celulolíticos em dois tipos de silos experimentais. Ensaios e Ciências, v.27, n.1, p.25-31, 2023.</w:t>
      </w:r>
    </w:p>
    <w:p>
      <w:pPr>
        <w:pStyle w:val="LOnormal"/>
        <w:jc w:val="both"/>
        <w:rPr>
          <w:rFonts w:ascii="Arial" w:hAnsi="Arial" w:eastAsia="Arial"/>
          <w:color w:val="000000"/>
          <w:sz w:val="22"/>
          <w:szCs w:val="22"/>
        </w:rPr>
      </w:pPr>
      <w:r>
        <w:rPr>
          <w:rFonts w:eastAsia="Arial" w:ascii="Arial" w:hAnsi="Arial"/>
          <w:color w:val="000000"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/>
          <w:bCs/>
          <w:color w:val="000000"/>
          <w:sz w:val="22"/>
          <w:szCs w:val="22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Helvetica Neu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right" w:pos="9020" w:leader="none"/>
      </w:tabs>
      <w:rPr>
        <w:rFonts w:ascii="Helvetica Neue" w:hAnsi="Helvetica Neue" w:eastAsia="Helvetica Neue" w:cs="Helvetica Neue"/>
        <w:color w:val="000000"/>
      </w:rPr>
    </w:pPr>
    <w:r>
      <w:rPr>
        <w:rFonts w:eastAsia="Helvetica Neue" w:cs="Helvetica Neue" w:ascii="Helvetica Neue" w:hAnsi="Helvetica Neue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rFonts w:ascii="Cambria" w:hAnsi="Cambria" w:eastAsia="Cambria" w:cs="Cambria"/>
        <w:color w:val="00000A"/>
      </w:rPr>
    </w:pPr>
    <w:r>
      <w:rPr>
        <w:rFonts w:eastAsia="Cambria" w:cs="Cambria" w:ascii="Cambria" w:hAnsi="Cambria"/>
        <w:color w:val="00000A"/>
      </w:rPr>
      <w:drawing>
        <wp:anchor behindDoc="0" distT="152400" distB="152400" distL="152400" distR="152400" simplePos="0" locked="0" layoutInCell="0" allowOverlap="1" relativeHeight="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500" cy="1115060"/>
          <wp:effectExtent l="0" t="0" r="0" b="0"/>
          <wp:wrapTopAndBottom/>
          <wp:docPr id="7" name="Figura1" descr="Cabeçalho SBS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1" descr="Cabeçalho SBSS-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1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trackRevisions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tulo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umeraodelinhas" w:customStyle="1">
    <w:name w:val="Numeração de linhas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basedOn w:val="LOnormal"/>
    <w:next w:val="Corpodotexto"/>
    <w:uiPriority w:val="10"/>
    <w:qFormat/>
    <w:pPr>
      <w:ind w:right="306" w:hanging="0"/>
      <w:jc w:val="center"/>
    </w:pPr>
    <w:rPr>
      <w:b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Subttulo">
    <w:name w:val="Subtitle"/>
    <w:basedOn w:val="LOnormal"/>
    <w:next w:val="LO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Contedodoquadro" w:customStyle="1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LibreOffice/7.2.1.2$Windows_X86_64 LibreOffice_project/87b77fad49947c1441b67c559c339af8f3517e22</Application>
  <AppVersion>15.0000</AppVersion>
  <Pages>2</Pages>
  <Words>1211</Words>
  <Characters>6648</Characters>
  <CharactersWithSpaces>7896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2023-10-19T14:49:00Z</dcterms:created>
  <dc:creator/>
  <dc:description/>
  <dc:language>pt-BR</dc:language>
  <cp:lastModifiedBy/>
  <dcterms:modified xsi:type="dcterms:W3CDTF">2023-10-19T13:49:58Z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