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76"/>
        <w:ind w:right="280" w:hanging="0"/>
        <w:jc w:val="center"/>
        <w:rPr>
          <w:rFonts w:ascii="Arial" w:hAnsi="Arial" w:eastAsia="Arial" w:cs="Arial"/>
          <w:color w:val="000000"/>
          <w:sz w:val="28"/>
          <w:szCs w:val="28"/>
          <w:u w:val="none" w:color="000000"/>
          <w:lang w:val="pt-BR"/>
        </w:rPr>
      </w:pPr>
      <w:r>
        <w:drawing>
          <wp:anchor behindDoc="0" distT="152400" distB="152400" distL="152400" distR="152400" simplePos="0" locked="0" layoutInCell="0" allowOverlap="1" relativeHeight="2">
            <wp:simplePos x="0" y="0"/>
            <wp:positionH relativeFrom="margin">
              <wp:posOffset>-903605</wp:posOffset>
            </wp:positionH>
            <wp:positionV relativeFrom="margin">
              <wp:posOffset>-746760</wp:posOffset>
            </wp:positionV>
            <wp:extent cx="7556500" cy="1115060"/>
            <wp:effectExtent l="0" t="0" r="0" b="0"/>
            <wp:wrapSquare wrapText="bothSides"/>
            <wp:docPr id="1" name="officeArt object"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Cabeçalho SBSS-02.jpg"/>
                    <pic:cNvPicPr>
                      <a:picLocks noChangeAspect="1" noChangeArrowheads="1"/>
                    </pic:cNvPicPr>
                  </pic:nvPicPr>
                  <pic:blipFill>
                    <a:blip r:embed="rId2"/>
                    <a:stretch>
                      <a:fillRect/>
                    </a:stretch>
                  </pic:blipFill>
                  <pic:spPr bwMode="auto">
                    <a:xfrm>
                      <a:off x="0" y="0"/>
                      <a:ext cx="7556500" cy="1115060"/>
                    </a:xfrm>
                    <a:prstGeom prst="rect">
                      <a:avLst/>
                    </a:prstGeom>
                  </pic:spPr>
                </pic:pic>
              </a:graphicData>
            </a:graphic>
          </wp:anchor>
        </w:drawing>
      </w:r>
      <w:r>
        <w:rPr>
          <w:rFonts w:eastAsia="Arial" w:cs="Arial" w:ascii="Arial" w:hAnsi="Arial"/>
          <w:color w:val="000000"/>
          <w:sz w:val="28"/>
          <w:szCs w:val="28"/>
          <w:u w:val="none" w:color="000000"/>
          <w:lang w:val="pt-BR"/>
        </w:rPr>
        <w:t>D</w:t>
      </w:r>
      <w:bookmarkStart w:id="0" w:name="_GoBack"/>
      <w:r>
        <w:rPr>
          <w:rFonts w:eastAsia="Arial" w:cs="Arial" w:ascii="Arial" w:hAnsi="Arial"/>
          <w:color w:val="000000"/>
          <w:sz w:val="28"/>
          <w:szCs w:val="28"/>
          <w:u w:val="none" w:color="000000"/>
          <w:lang w:val="pt-BR"/>
        </w:rPr>
        <w:t>ESAFIOS MICROBIOLÓGICOS NA PRODUÇÃO DE LEITE: PROTOCOLO DE REMOÇÃO DE BIOFILME EM DIFERENTES CONDIÇÕES DE pH DA ÁGUA</w:t>
      </w:r>
      <w:bookmarkEnd w:id="0"/>
    </w:p>
    <w:p>
      <w:pPr>
        <w:pStyle w:val="LOnormal"/>
        <w:spacing w:lineRule="auto" w:line="276"/>
        <w:ind w:right="280" w:hanging="0"/>
        <w:jc w:val="center"/>
        <w:rPr>
          <w:rFonts w:ascii="Arial" w:hAnsi="Arial" w:cs="Arial"/>
          <w:lang w:val="pt-BR"/>
        </w:rPr>
      </w:pPr>
      <w:r>
        <w:rPr>
          <w:rFonts w:cs="Arial" w:ascii="Arial" w:hAnsi="Arial"/>
          <w:lang w:val="pt-BR"/>
        </w:rPr>
      </w:r>
    </w:p>
    <w:p>
      <w:pPr>
        <w:pStyle w:val="LOnormal"/>
        <w:ind w:right="284" w:hanging="0"/>
        <w:jc w:val="center"/>
        <w:rPr>
          <w:rFonts w:ascii="Arial" w:hAnsi="Arial" w:eastAsia="Arial" w:cs="Arial"/>
          <w:color w:val="000000"/>
          <w:sz w:val="20"/>
          <w:szCs w:val="20"/>
          <w:u w:val="none" w:color="000000"/>
          <w:lang w:val="pt-BR"/>
        </w:rPr>
      </w:pPr>
      <w:r>
        <w:rPr/>
      </w:r>
    </w:p>
    <w:p>
      <w:pPr>
        <w:pStyle w:val="LOnormal"/>
        <w:ind w:right="284" w:hanging="0"/>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s="Arial"/>
          <w:color w:val="000000"/>
          <w:lang w:val="pt-BR"/>
        </w:rPr>
      </w:pPr>
      <w:r>
        <w:rPr>
          <w:rFonts w:cs="Arial" w:ascii="Arial" w:hAnsi="Arial"/>
          <w:b/>
          <w:bCs/>
          <w:color w:val="000000"/>
          <w:sz w:val="22"/>
          <w:szCs w:val="22"/>
          <w:u w:val="none" w:color="000000"/>
          <w:lang w:val="pt-BR"/>
        </w:rPr>
        <w:t>Contribuição para a sociedade</w:t>
      </w:r>
      <w:r>
        <w:rPr>
          <w:rFonts w:cs="Arial" w:ascii="Arial" w:hAnsi="Arial"/>
          <w:color w:val="000000"/>
          <w:sz w:val="22"/>
          <w:szCs w:val="22"/>
          <w:u w:val="none" w:color="000000"/>
          <w:lang w:val="pt-BR"/>
        </w:rPr>
        <w:t xml:space="preserve">: </w:t>
      </w:r>
      <w:r>
        <w:rPr>
          <w:rFonts w:cs="Arial" w:ascii="Arial" w:hAnsi="Arial"/>
          <w:color w:val="111111"/>
          <w:sz w:val="22"/>
          <w:szCs w:val="22"/>
          <w:shd w:fill="FFFFFF" w:val="clear"/>
        </w:rPr>
        <w:t>a produção de leite possui desafios microbiológicos impactando a qualidade do leite e a saúde única. Dois indicadores cruciais nesse contexto são a contagem bacteriana total (CBT) e contagem de células somáticas (CCS), ambos podem sofrer influência de vários agentes, alguns destes, com capacidade de formar biofilme. Biofilmes são estruturas protetoras autoproduzidas que conferem resistência aos microrganismos, mantendo estabilidade em ambientes e superfícies. O objetivo deste estudo foi avaliar a eficiência de protocolos de limpeza e desinfecção de equipamentos de ordenha utilizando protocolos diluindo os produtos comerciais em diferentes faixas de pH da água. Análises in vitro de formação de biofilme foram conduzidas no Laboratório de Doenças Infecciosas dos Animais (LABDIA) da Universidade Federal de Santa Catarina (UFSC). A lavagem com pH da água 7,0 mostrou-se mais eficaz na remoção do biofilme. Esses achados contribuem para orientar protocolos de limpeza dos equipamentos de ordenha, impactando positivamente na qualidade do leite.</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s="Arial"/>
          <w:color w:val="000000"/>
          <w:sz w:val="22"/>
          <w:szCs w:val="22"/>
          <w:u w:val="none" w:color="000000"/>
          <w:lang w:val="pt-BR"/>
        </w:rPr>
      </w:pPr>
      <w:r>
        <w:rPr>
          <w:rFonts w:cs="Arial" w:ascii="Arial" w:hAnsi="Arial"/>
          <w:b/>
          <w:bCs/>
          <w:color w:val="000000"/>
          <w:sz w:val="22"/>
          <w:szCs w:val="22"/>
          <w:u w:val="none" w:color="000000"/>
          <w:lang w:val="pt-BR"/>
        </w:rPr>
        <w:t>Palavras-chave</w:t>
      </w:r>
      <w:r>
        <w:rPr>
          <w:rFonts w:cs="Arial" w:ascii="Arial" w:hAnsi="Arial"/>
          <w:color w:val="000000"/>
          <w:sz w:val="22"/>
          <w:szCs w:val="22"/>
          <w:u w:val="none" w:color="000000"/>
          <w:lang w:val="pt-BR"/>
        </w:rPr>
        <w:t>: CBT, desinfecção, equipamentos, ordenha, saúde.</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s="Arial"/>
          <w:bCs/>
          <w:color w:val="000000"/>
          <w:sz w:val="22"/>
          <w:szCs w:val="22"/>
          <w:u w:val="none" w:color="000000"/>
          <w:lang w:val="pt-BR"/>
        </w:rPr>
      </w:pPr>
      <w:r>
        <w:rPr>
          <w:rFonts w:cs="Arial" w:ascii="Arial" w:hAnsi="Arial"/>
          <w:b/>
          <w:bCs/>
          <w:color w:val="000000"/>
          <w:sz w:val="22"/>
          <w:szCs w:val="22"/>
          <w:u w:val="none" w:color="000000"/>
          <w:lang w:val="pt-BR"/>
        </w:rPr>
        <w:t xml:space="preserve">Introdução: </w:t>
      </w:r>
      <w:r>
        <w:rPr>
          <w:rFonts w:cs="Arial" w:ascii="Arial" w:hAnsi="Arial"/>
          <w:bCs/>
          <w:color w:val="000000"/>
          <w:sz w:val="22"/>
          <w:szCs w:val="22"/>
          <w:u w:val="none" w:color="000000"/>
          <w:lang w:val="pt-BR"/>
        </w:rPr>
        <w:t>alguns microrganismos possuem capacidade de formar biofilme, sendo este, uma matriz extracelular, enriquecida com polímeros autoproduzidos pelas células bacterianas que permanecem imersas nesse meio (DONLAN, 2002). Se apresentando como um mecanismo de defesa, tornando a comunidade microbiana mais resistente, fazendo com que a ação de sanitizantes seja dificultada e elevando o risco de falhas nos procedimentos de limpeza (LIU et al., 2020; MØRETRØ et al., 2017).  A possível   presença de biofilme também no tecido mamário das vacas, bem como sua aderência aos equipamentos e utensílios utilizados durante a ordenha, é apontada como uma das principais causas da elevação do CBT e também recorrência nos quadros de mastite e aumento nos índices de resistência a antimicrobianos no tratamento da mesma (CHAGAS et al., 2017). Com isso,</w:t>
      </w:r>
      <w:r>
        <w:rPr>
          <w:rFonts w:cs="Arial" w:ascii="Arial" w:hAnsi="Arial"/>
          <w:color w:val="000000"/>
          <w:sz w:val="22"/>
          <w:szCs w:val="22"/>
          <w:lang w:val="pt-BR"/>
        </w:rPr>
        <w:t xml:space="preserve"> o objetivo deste estudo foi avaliar a eficiência de protocolos de limpeza e desinfecção de equipamentos de ordenha utilizando protocolos com produtos comerciais diluídos em diferentes faixas pH da água.</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s="Arial"/>
          <w:color w:val="000000"/>
          <w:sz w:val="22"/>
          <w:szCs w:val="22"/>
          <w:shd w:fill="FFFFFF" w:val="clear"/>
          <w:lang w:val="pt-BR"/>
        </w:rPr>
      </w:pPr>
      <w:bookmarkStart w:id="1" w:name="_headingh.30j0zll"/>
      <w:bookmarkEnd w:id="1"/>
      <w:r>
        <w:rPr>
          <w:rFonts w:cs="Arial" w:ascii="Arial" w:hAnsi="Arial"/>
          <w:b/>
          <w:bCs/>
          <w:color w:val="000000"/>
          <w:sz w:val="22"/>
          <w:szCs w:val="22"/>
          <w:u w:val="none" w:color="000000"/>
          <w:lang w:val="pt-BR"/>
        </w:rPr>
        <w:t>Material e métodos:</w:t>
      </w:r>
      <w:r>
        <w:rPr>
          <w:rFonts w:cs="Arial" w:ascii="Arial" w:hAnsi="Arial"/>
          <w:color w:val="000000"/>
          <w:sz w:val="22"/>
          <w:szCs w:val="22"/>
          <w:u w:val="none" w:color="000000"/>
          <w:lang w:val="pt-BR"/>
        </w:rPr>
        <w:t xml:space="preserve"> com auxílio de suabes, </w:t>
      </w:r>
      <w:r>
        <w:rPr>
          <w:rFonts w:cs="Arial" w:ascii="Arial" w:hAnsi="Arial"/>
          <w:color w:val="000000"/>
          <w:sz w:val="22"/>
          <w:szCs w:val="22"/>
          <w:lang w:val="pt-BR"/>
        </w:rPr>
        <w:t xml:space="preserve">foram coletadas 27 amostras superfícies de equipamentos de ordenha em 27 propriedades leiteiras localizadas no Meio Oeste Catarinense. O ensaio de produção de biofilme foi realizado no Laboratório de Doenças infecciosas dos animais (LabDIA)/UFSC. Para produção do inóculo, os suabes foram acrescidos de caldo Infusão de Cérebro e Coração (BHI) e incubados a 37ºC por 24 horas. </w:t>
      </w:r>
      <w:r>
        <w:rPr>
          <w:rFonts w:cs="Arial" w:ascii="Arial" w:hAnsi="Arial"/>
          <w:color w:val="000000"/>
          <w:sz w:val="22"/>
          <w:szCs w:val="22"/>
          <w:shd w:fill="FFFFFF" w:val="clear"/>
          <w:lang w:val="pt-BR"/>
        </w:rPr>
        <w:t xml:space="preserve">A formação e quantificação de biofilme foi realizada </w:t>
      </w:r>
      <w:r>
        <w:rPr>
          <w:rFonts w:cs="Arial" w:ascii="Arial" w:hAnsi="Arial"/>
          <w:i/>
          <w:iCs/>
          <w:color w:val="000000"/>
          <w:sz w:val="22"/>
          <w:szCs w:val="22"/>
          <w:shd w:fill="FFFFFF" w:val="clear"/>
          <w:lang w:val="pt-BR"/>
        </w:rPr>
        <w:t>in vitro</w:t>
      </w:r>
      <w:r>
        <w:rPr>
          <w:rFonts w:cs="Arial" w:ascii="Arial" w:hAnsi="Arial"/>
          <w:color w:val="000000"/>
          <w:sz w:val="22"/>
          <w:szCs w:val="22"/>
          <w:shd w:fill="FFFFFF" w:val="clear"/>
          <w:lang w:val="pt-BR"/>
        </w:rPr>
        <w:t xml:space="preserve"> conforme descrito por STEPANOVIĆ </w:t>
      </w:r>
      <w:bookmarkStart w:id="2" w:name="_Hlk146914910"/>
    </w:p>
    <w:p>
      <w:pPr>
        <w:pStyle w:val="Normal"/>
        <w:jc w:val="both"/>
        <w:rPr>
          <w:rFonts w:ascii="Arial" w:hAnsi="Arial" w:cs="Arial"/>
          <w:color w:val="000000"/>
          <w:sz w:val="22"/>
          <w:szCs w:val="22"/>
        </w:rPr>
      </w:pPr>
      <w:r>
        <w:rPr>
          <w:rFonts w:cs="Arial" w:ascii="Arial" w:hAnsi="Arial"/>
          <w:i/>
          <w:iCs/>
          <w:color w:val="000000"/>
          <w:sz w:val="22"/>
          <w:szCs w:val="22"/>
          <w:shd w:fill="FFFFFF" w:val="clear"/>
        </w:rPr>
        <w:t>et al.</w:t>
      </w:r>
      <w:r>
        <w:rPr>
          <w:rFonts w:cs="Arial" w:ascii="Arial" w:hAnsi="Arial"/>
          <w:color w:val="000000"/>
          <w:sz w:val="22"/>
          <w:szCs w:val="22"/>
          <w:shd w:fill="FFFFFF" w:val="clear"/>
        </w:rPr>
        <w:t xml:space="preserve">, 2004. Resumidamente, foram adicionados 20μL do inóculo em 230μL de leite integral em cada poço de microplacas de poliestireno. As placas foram incubadas em aerofilia durante 24 horas a 37°C. </w:t>
      </w:r>
      <w:r>
        <w:rPr>
          <w:rFonts w:cs="Arial" w:ascii="Arial" w:hAnsi="Arial"/>
          <w:color w:val="000000"/>
          <w:sz w:val="22"/>
          <w:szCs w:val="22"/>
        </w:rPr>
        <w:t xml:space="preserve">Em seguida o biofilme foi submetido a diferentes protocolos de limpeza, classificados como: (I) protocolo utilizando apenas água quente (60°C±2). </w:t>
      </w:r>
    </w:p>
    <w:p>
      <w:pPr>
        <w:pStyle w:val="Normal"/>
        <w:jc w:val="both"/>
        <w:rPr>
          <w:rFonts w:ascii="Arial" w:hAnsi="Arial" w:cs="Arial"/>
          <w:color w:val="000000"/>
          <w:sz w:val="22"/>
          <w:szCs w:val="22"/>
        </w:rPr>
      </w:pPr>
      <w:r>
        <w:rPr>
          <w:rFonts w:cs="Arial" w:ascii="Arial" w:hAnsi="Arial"/>
          <w:color w:val="000000"/>
          <w:sz w:val="22"/>
          <w:szCs w:val="22"/>
        </w:rPr>
        <w:t>Nos demais protocolos foram utilizando os detergentes ácido e alcalino seguindo as recomendações dos fabricantes, alterando o pH da água usada na diluição, classificados como: (II) água em pH 4,0; (III) água em pH 7,0; (IV) água em pH12. Para os detergentes ácidos a temperatura da água usada foi 40°C±2, já para os detergente alcalinos  a temperatura da água  foi  60°C±2.</w:t>
      </w:r>
      <w:r>
        <w:rPr>
          <w:rFonts w:cs="Arial" w:ascii="Arial" w:hAnsi="Arial"/>
          <w:color w:val="000000"/>
          <w:sz w:val="22"/>
          <w:szCs w:val="22"/>
          <w:shd w:fill="FFFFFF" w:val="clear"/>
        </w:rPr>
        <w:t xml:space="preserve"> Após a lavagem, o biofilme foi fixado com metanol, corado com cristal-violeta e o excesso de corante lavado. Para quantificação do biofilme, foram adicionados 250μL de ácido acético glacial a 33% por poço e medida a densidade ótica (O.D) por espectrofotometria em tamanho de onda de 570nm. Todos os ensaios foram realizados em triplicata, para o controle negativo foi usado água destilada estéril e para os controles positivos foi utilizado as cepas </w:t>
      </w:r>
      <w:r>
        <w:rPr>
          <w:rFonts w:cs="Arial" w:ascii="Arial" w:hAnsi="Arial"/>
          <w:i/>
          <w:iCs/>
          <w:color w:val="000000"/>
          <w:sz w:val="22"/>
          <w:szCs w:val="22"/>
        </w:rPr>
        <w:t>Escherichia coli</w:t>
      </w:r>
      <w:r>
        <w:rPr>
          <w:rFonts w:cs="Arial" w:ascii="Arial" w:hAnsi="Arial"/>
          <w:color w:val="000000"/>
          <w:sz w:val="22"/>
          <w:szCs w:val="22"/>
        </w:rPr>
        <w:t xml:space="preserve"> ATCC 25922, </w:t>
      </w:r>
      <w:r>
        <w:rPr>
          <w:rFonts w:cs="Arial" w:ascii="Arial" w:hAnsi="Arial"/>
          <w:i/>
          <w:iCs/>
          <w:color w:val="000000"/>
          <w:sz w:val="22"/>
          <w:szCs w:val="22"/>
        </w:rPr>
        <w:t>Staphylococcus aureus</w:t>
      </w:r>
      <w:r>
        <w:rPr>
          <w:rFonts w:cs="Arial" w:ascii="Arial" w:hAnsi="Arial"/>
          <w:color w:val="000000"/>
          <w:sz w:val="22"/>
          <w:szCs w:val="22"/>
        </w:rPr>
        <w:t xml:space="preserve"> ATCC 25923</w:t>
      </w:r>
      <w:r>
        <w:rPr>
          <w:rFonts w:cs="Arial" w:ascii="Arial" w:hAnsi="Arial"/>
          <w:color w:val="000000"/>
          <w:sz w:val="22"/>
          <w:szCs w:val="22"/>
          <w:shd w:fill="FFFFFF" w:val="clear"/>
        </w:rPr>
        <w:t>. A análise estatística foi realizada através do teste de Shapiro-Wilkins, onde se constatou que as variáveis não seguem distribuição normal.  As análises seguiram com testes não-paramétricos de Kruskal-Wallis seguido por Dunn para comparação entre grupos.</w:t>
      </w:r>
    </w:p>
    <w:p>
      <w:pPr>
        <w:pStyle w:val="LOnormal"/>
        <w:jc w:val="both"/>
        <w:rPr>
          <w:rFonts w:ascii="Arial" w:hAnsi="Arial" w:cs="Arial"/>
          <w:color w:val="000000"/>
          <w:sz w:val="22"/>
          <w:szCs w:val="22"/>
          <w:shd w:fill="FFFFFF" w:val="clear"/>
          <w:lang w:val="pt-BR"/>
        </w:rPr>
      </w:pPr>
      <w:r>
        <w:rPr>
          <w:rFonts w:cs="Arial" w:ascii="Arial" w:hAnsi="Arial"/>
          <w:color w:val="000000"/>
          <w:sz w:val="22"/>
          <w:szCs w:val="22"/>
          <w:shd w:fill="FFFFFF" w:val="clear"/>
          <w:lang w:val="pt-BR"/>
        </w:rPr>
      </w:r>
      <w:bookmarkEnd w:id="2"/>
    </w:p>
    <w:p>
      <w:pPr>
        <w:pStyle w:val="LOnormal"/>
        <w:tabs>
          <w:tab w:val="clear" w:pos="720"/>
          <w:tab w:val="left" w:pos="851" w:leader="none"/>
        </w:tabs>
        <w:jc w:val="both"/>
        <w:rPr>
          <w:rFonts w:ascii="Arial" w:hAnsi="Arial" w:cs="Arial"/>
          <w:color w:val="000000"/>
          <w:sz w:val="22"/>
          <w:szCs w:val="22"/>
          <w:lang w:val="pt-BR"/>
        </w:rPr>
      </w:pPr>
      <w:r>
        <w:rPr>
          <w:rFonts w:cs="Arial" w:ascii="Arial" w:hAnsi="Arial"/>
          <w:b/>
          <w:bCs/>
          <w:color w:val="000000" w:themeColor="text1"/>
          <w:sz w:val="22"/>
          <w:szCs w:val="22"/>
          <w:u w:val="none" w:color="000000"/>
          <w:lang w:val="pt-BR"/>
        </w:rPr>
        <w:t>Resultados e discussões:</w:t>
      </w:r>
      <w:r>
        <w:rPr>
          <w:rFonts w:cs="Arial" w:ascii="Arial" w:hAnsi="Arial"/>
          <w:color w:val="000000" w:themeColor="text1"/>
          <w:sz w:val="22"/>
          <w:szCs w:val="22"/>
          <w:u w:val="none" w:color="000000"/>
          <w:lang w:val="pt-BR"/>
        </w:rPr>
        <w:t xml:space="preserve"> </w:t>
      </w:r>
      <w:bookmarkStart w:id="3" w:name="_Hlk145398611"/>
      <w:r>
        <w:rPr>
          <w:rFonts w:cs="Arial" w:ascii="Arial" w:hAnsi="Arial"/>
          <w:color w:val="000000" w:themeColor="text1"/>
          <w:sz w:val="22"/>
          <w:szCs w:val="22"/>
          <w:u w:val="none" w:color="000000"/>
          <w:lang w:val="pt-BR"/>
        </w:rPr>
        <w:t>a produção de biofilme foi observada para todas as 27 amostras analisadas. A lavagem exclusivamente com água quente se mostrou estatisticamente diferente dos demais tratamentos (</w:t>
      </w:r>
      <w:r>
        <w:rPr>
          <w:rFonts w:cs="Arial" w:ascii="Arial" w:hAnsi="Arial"/>
          <w:i/>
          <w:color w:val="000000" w:themeColor="text1"/>
          <w:sz w:val="22"/>
          <w:szCs w:val="22"/>
          <w:u w:val="none" w:color="000000"/>
          <w:lang w:val="pt-BR"/>
        </w:rPr>
        <w:t>p-valor</w:t>
      </w:r>
      <w:r>
        <w:rPr>
          <w:rFonts w:cs="Arial" w:ascii="Arial" w:hAnsi="Arial"/>
          <w:color w:val="000000" w:themeColor="text1"/>
          <w:sz w:val="22"/>
          <w:szCs w:val="22"/>
          <w:u w:val="none" w:color="000000"/>
          <w:lang w:val="pt-BR"/>
        </w:rPr>
        <w:t xml:space="preserve"> &lt;0.05), apresentando média de O.D de biofilme de 2.911</w:t>
      </w:r>
      <w:r>
        <w:rPr>
          <w:rFonts w:cs="Arial" w:ascii="Arial" w:hAnsi="Arial"/>
          <w:color w:val="000000" w:themeColor="text1"/>
          <w:sz w:val="22"/>
          <w:szCs w:val="22"/>
          <w:lang w:val="pt-BR"/>
        </w:rPr>
        <w:t>± 0.197</w:t>
      </w:r>
      <w:r>
        <w:rPr>
          <w:rFonts w:cs="Arial" w:ascii="Arial" w:hAnsi="Arial"/>
          <w:color w:val="000000" w:themeColor="text1"/>
          <w:sz w:val="22"/>
          <w:szCs w:val="22"/>
          <w:u w:val="none" w:color="000000"/>
          <w:lang w:val="pt-BR"/>
        </w:rPr>
        <w:t>. Os processos de lavagem com os produtos comerciais recomendados nas diferentes faixas de pH avaliadas não diferiram estatisticamente entre si</w:t>
      </w:r>
      <w:r>
        <w:rPr>
          <w:rFonts w:cs="Arial" w:ascii="Arial" w:hAnsi="Arial"/>
          <w:bCs/>
          <w:color w:val="000000" w:themeColor="text1"/>
          <w:sz w:val="22"/>
          <w:szCs w:val="22"/>
          <w:u w:val="none" w:color="000000"/>
          <w:lang w:val="pt-BR"/>
        </w:rPr>
        <w:t>.</w:t>
      </w:r>
      <w:r>
        <w:rPr>
          <w:rFonts w:cs="Arial" w:ascii="Arial" w:hAnsi="Arial"/>
          <w:color w:val="000000" w:themeColor="text1"/>
          <w:sz w:val="22"/>
          <w:szCs w:val="22"/>
          <w:u w:val="none" w:color="000000"/>
          <w:lang w:val="pt-BR"/>
        </w:rPr>
        <w:t xml:space="preserve"> No entanto o protocolo utilizando água com pH 7,0 foi o mais eficaz na remoção do biofilme, com média de O.D de 1.412</w:t>
      </w:r>
      <w:r>
        <w:rPr>
          <w:rFonts w:cs="Arial" w:ascii="Arial" w:hAnsi="Arial"/>
          <w:color w:val="000000" w:themeColor="text1"/>
          <w:sz w:val="22"/>
          <w:szCs w:val="22"/>
          <w:lang w:val="pt-BR"/>
        </w:rPr>
        <w:t>± 0.186</w:t>
      </w:r>
      <w:r>
        <w:rPr>
          <w:rFonts w:cs="Arial" w:ascii="Arial" w:hAnsi="Arial"/>
          <w:color w:val="000000" w:themeColor="text1"/>
          <w:sz w:val="22"/>
          <w:szCs w:val="22"/>
          <w:u w:val="none" w:color="000000"/>
          <w:lang w:val="pt-BR"/>
        </w:rPr>
        <w:t xml:space="preserve">. As médias de O.D para diferentes pH testados, juntamente com o valor mínimo e valor máximo de O.D estão detalhados na </w:t>
      </w:r>
      <w:r>
        <w:rPr>
          <w:rFonts w:cs="Arial" w:ascii="Arial" w:hAnsi="Arial"/>
          <w:b/>
          <w:bCs/>
          <w:color w:val="000000" w:themeColor="text1"/>
          <w:sz w:val="22"/>
          <w:szCs w:val="22"/>
          <w:u w:val="none" w:color="000000"/>
          <w:lang w:val="pt-BR"/>
        </w:rPr>
        <w:t>tabela 1</w:t>
      </w:r>
      <w:r>
        <w:rPr>
          <w:rFonts w:cs="Arial" w:ascii="Arial" w:hAnsi="Arial"/>
          <w:color w:val="000000" w:themeColor="text1"/>
          <w:sz w:val="22"/>
          <w:szCs w:val="22"/>
          <w:u w:val="none" w:color="000000"/>
          <w:lang w:val="pt-BR"/>
        </w:rPr>
        <w:t xml:space="preserve">. </w:t>
      </w:r>
      <w:r>
        <w:rPr>
          <w:rFonts w:cs="Arial" w:ascii="Arial" w:hAnsi="Arial"/>
          <w:color w:val="000000"/>
          <w:sz w:val="22"/>
          <w:szCs w:val="22"/>
          <w:u w:val="none" w:color="000000"/>
          <w:lang w:val="pt-BR"/>
        </w:rPr>
        <w:t>O</w:t>
      </w:r>
      <w:r>
        <w:rPr>
          <w:rFonts w:cs="Arial" w:ascii="Arial" w:hAnsi="Arial"/>
          <w:color w:val="000000"/>
          <w:sz w:val="22"/>
          <w:szCs w:val="22"/>
          <w:lang w:val="pt-BR"/>
        </w:rPr>
        <w:t xml:space="preserve"> biofilme é composto por diferentes tipos de microrganismos, alguns agentes demonstram a capacidade de aderência a superfícies enquanto outros se ancoram à matriz pré-existente (MOURA, 2018). </w:t>
      </w:r>
      <w:r>
        <w:rPr>
          <w:rFonts w:cs="Arial" w:ascii="Arial" w:hAnsi="Arial"/>
          <w:color w:val="000000"/>
          <w:sz w:val="22"/>
          <w:szCs w:val="22"/>
          <w:shd w:fill="FFFFFF" w:val="clear"/>
          <w:lang w:val="pt-BR"/>
        </w:rPr>
        <w:t>WALKER</w:t>
      </w:r>
      <w:r>
        <w:rPr>
          <w:rFonts w:cs="Arial" w:ascii="Arial" w:hAnsi="Arial"/>
          <w:color w:val="000000"/>
          <w:sz w:val="22"/>
          <w:szCs w:val="22"/>
          <w:lang w:val="pt-BR"/>
        </w:rPr>
        <w:t xml:space="preserve"> et al. (2015) mostra em seu estudo a necessidade de atenção à temperatura da água e tempo de lavagem, como fatores que influenciam na remoção de sólidos e também na adesão dos agentes. Em pesquisa realizada por </w:t>
      </w:r>
      <w:r>
        <w:rPr>
          <w:rFonts w:cs="Arial" w:ascii="Arial" w:hAnsi="Arial"/>
          <w:sz w:val="22"/>
          <w:szCs w:val="22"/>
          <w:lang w:val="pt-BR"/>
        </w:rPr>
        <w:t>WANG et al. (2019) relatam que cálcio e magnésio são nutrientes exigidos pelas bactérias para o crescimento e mantença, além de cumprir papel importante na adesão destas e na formação do biofilme. Portanto, a maior dureza da água (altos níveis de cálcio e magnésio) também pode influenciar os microrganismos ambientais (</w:t>
      </w:r>
      <w:r>
        <w:rPr>
          <w:rFonts w:cs="Arial" w:ascii="Arial" w:hAnsi="Arial"/>
          <w:color w:val="222222"/>
          <w:sz w:val="22"/>
          <w:szCs w:val="22"/>
          <w:shd w:fill="FFFFFF" w:val="clear"/>
          <w:lang w:val="pt-BR"/>
        </w:rPr>
        <w:t xml:space="preserve">LÓPEZ et al., 2023), corroborando com nosso estudo, em que se observou menor eficiência de remoção de biofilme quando os produtos foram diluídos em água com pH 12. </w:t>
      </w:r>
      <w:r>
        <w:rPr>
          <w:rFonts w:cs="Arial" w:ascii="Arial" w:hAnsi="Arial"/>
          <w:color w:val="000000"/>
          <w:sz w:val="22"/>
          <w:szCs w:val="22"/>
          <w:lang w:val="pt-BR"/>
        </w:rPr>
        <w:t>Nossos resultados fortalecem a necessidade dos pontos de controle de limpeza adequada dos materiais, demonstrando que os pH da água utilizada para realizar a limpeza, em conjunto com os desinfetantes, também podem influenciar a eficácia final da higienização dos equipamentos de ordenha e consequentemente influenciar a qualidade do leite.</w:t>
      </w:r>
      <w:bookmarkEnd w:id="3"/>
    </w:p>
    <w:p>
      <w:pPr>
        <w:pStyle w:val="LOnormal"/>
        <w:spacing w:lineRule="auto" w:line="276" w:before="240" w:after="0"/>
        <w:ind w:left="20" w:hanging="0"/>
        <w:jc w:val="both"/>
        <w:rPr>
          <w:rFonts w:ascii="Arial" w:hAnsi="Arial" w:cs="Arial"/>
          <w:color w:val="000000"/>
          <w:sz w:val="20"/>
          <w:szCs w:val="20"/>
          <w:u w:val="none" w:color="000000"/>
          <w:lang w:val="pt-BR"/>
        </w:rPr>
      </w:pPr>
      <w:r>
        <w:rPr>
          <w:rFonts w:cs="Arial" w:ascii="Arial" w:hAnsi="Arial"/>
          <w:b/>
          <w:bCs/>
          <w:color w:val="000000"/>
          <w:sz w:val="20"/>
          <w:szCs w:val="20"/>
          <w:u w:val="none" w:color="000000"/>
          <w:lang w:val="pt-BR"/>
        </w:rPr>
        <w:t xml:space="preserve">Tabela 1. Tabela 1. </w:t>
      </w:r>
      <w:r>
        <w:rPr>
          <w:rFonts w:cs="Arial" w:ascii="Arial" w:hAnsi="Arial"/>
          <w:color w:val="000000"/>
          <w:sz w:val="20"/>
          <w:szCs w:val="20"/>
          <w:u w:val="none" w:color="000000"/>
          <w:lang w:val="pt-BR"/>
        </w:rPr>
        <w:t>Valor mínimo, média e valor máximo da quantificação de biofilme mensurado por densidade óptica (O.D.) para cada grupo experimental avaliado.</w:t>
      </w:r>
    </w:p>
    <w:p>
      <w:pPr>
        <w:pStyle w:val="LOnormal"/>
        <w:spacing w:lineRule="auto" w:line="276" w:before="240" w:after="0"/>
        <w:ind w:left="20" w:hanging="0"/>
        <w:jc w:val="both"/>
        <w:rPr>
          <w:rFonts w:ascii="Arial" w:hAnsi="Arial" w:cs="Arial"/>
          <w:color w:val="000000"/>
          <w:sz w:val="20"/>
          <w:szCs w:val="20"/>
          <w:u w:val="none" w:color="000000"/>
          <w:lang w:val="pt-BR"/>
        </w:rPr>
      </w:pPr>
      <w:r>
        <w:rPr>
          <w:rFonts w:cs="Arial" w:ascii="Arial" w:hAnsi="Arial"/>
          <w:color w:val="000000"/>
          <w:sz w:val="20"/>
          <w:szCs w:val="20"/>
          <w:u w:val="none" w:color="000000"/>
          <w:lang w:val="pt-BR"/>
        </w:rPr>
      </w:r>
    </w:p>
    <w:tbl>
      <w:tblPr>
        <w:tblStyle w:val="TabeladeLista6Colorida-nfase1"/>
        <w:tblW w:w="7615" w:type="dxa"/>
        <w:jc w:val="center"/>
        <w:tblInd w:w="0" w:type="dxa"/>
        <w:tblLayout w:type="fixed"/>
        <w:tblCellMar>
          <w:top w:w="0" w:type="dxa"/>
          <w:left w:w="0" w:type="dxa"/>
          <w:bottom w:w="0" w:type="dxa"/>
          <w:right w:w="0" w:type="dxa"/>
        </w:tblCellMar>
        <w:tblLook w:firstRow="1" w:noVBand="1" w:lastRow="0" w:firstColumn="1" w:lastColumn="0" w:noHBand="0" w:val="04a0"/>
      </w:tblPr>
      <w:tblGrid>
        <w:gridCol w:w="1599"/>
        <w:gridCol w:w="1460"/>
        <w:gridCol w:w="1440"/>
        <w:gridCol w:w="1440"/>
        <w:gridCol w:w="1440"/>
        <w:gridCol w:w="235"/>
      </w:tblGrid>
      <w:tr>
        <w:trPr>
          <w:trHeight w:val="300" w:hRule="atLeast"/>
          <w:cnfStyle w:val="100000000000" w:firstRow="1" w:lastRow="0" w:firstColumn="0" w:lastColumn="0" w:oddVBand="0" w:evenVBand="0" w:oddHBand="0" w:evenHBand="0" w:firstRowFirstColumn="0" w:firstRowLastColumn="0" w:lastRowFirstColumn="0" w:lastRowLastColumn="0"/>
        </w:trPr>
        <w:tc>
          <w:tcPr>
            <w:tcW w:w="1599" w:type="dxa"/>
            <w:cnfStyle w:val="001000000000" w:firstRow="0" w:lastRow="0" w:firstColumn="1" w:lastColumn="0" w:oddVBand="0" w:evenVBand="0" w:oddHBand="0" w:evenHBand="0" w:firstRowFirstColumn="0" w:firstRowLastColumn="0" w:lastRowFirstColumn="0" w:lastRowLastColumn="0"/>
            <w:tcBorders/>
          </w:tcPr>
          <w:p>
            <w:pPr>
              <w:pStyle w:val="Normal"/>
              <w:widowControl w:val="false"/>
              <w:spacing w:before="0" w:after="0"/>
              <w:jc w:val="center"/>
              <w:rPr>
                <w:rFonts w:ascii="Arial" w:hAnsi="Arial" w:cs="Arial"/>
                <w:color w:val="000000"/>
                <w:sz w:val="20"/>
                <w:szCs w:val="20"/>
                <w:lang w:eastAsia="pt-BR"/>
              </w:rPr>
            </w:pPr>
            <w:r>
              <w:rPr>
                <w:rFonts w:eastAsia="Arial Unicode MS" w:cs="Arial" w:ascii="Arial" w:hAnsi="Arial"/>
                <w:b/>
                <w:bCs/>
                <w:color w:val="000000"/>
                <w:kern w:val="0"/>
                <w:sz w:val="20"/>
                <w:szCs w:val="20"/>
                <w:lang w:val="pt-BR" w:bidi="ar-SA"/>
              </w:rPr>
              <w:t> </w:t>
            </w:r>
          </w:p>
        </w:tc>
        <w:tc>
          <w:tcPr>
            <w:tcW w:w="1460" w:type="dxa"/>
            <w:tcBorders/>
          </w:tcPr>
          <w:p>
            <w:pPr>
              <w:pStyle w:val="Normal"/>
              <w:widowControl w:val="false"/>
              <w:spacing w:before="0" w:after="0"/>
              <w:jc w:val="center"/>
              <w:cnfStyle w:val="100000000000" w:firstRow="1" w:lastRow="0" w:firstColumn="0" w:lastColumn="0" w:oddVBand="0" w:evenVBand="0" w:oddHBand="0" w:evenHBand="0" w:firstRowFirstColumn="0" w:firstRowLastColumn="0" w:lastRowFirstColumn="0" w:lastRowLastColumn="0"/>
              <w:rPr>
                <w:b w:val="false"/>
                <w:b w:val="false"/>
                <w:bCs w:val="false"/>
              </w:rPr>
            </w:pPr>
            <w:r>
              <w:rPr>
                <w:rFonts w:eastAsia="Arial Unicode MS" w:cs="Times New Roman"/>
                <w:b/>
                <w:bCs/>
                <w:color w:val="0D0D0D" w:themeColor="text1" w:themeTint="f2"/>
                <w:kern w:val="0"/>
                <w:lang w:val="pt-BR" w:bidi="ar-SA"/>
              </w:rPr>
              <w:t>Água quente</w:t>
            </w:r>
          </w:p>
        </w:tc>
        <w:tc>
          <w:tcPr>
            <w:tcW w:w="1440" w:type="dxa"/>
            <w:tcBorders/>
            <w:vAlign w:val="center"/>
          </w:tcPr>
          <w:p>
            <w:pPr>
              <w:pStyle w:val="Normal"/>
              <w:widowControl w:val="false"/>
              <w:spacing w:before="0" w:after="0"/>
              <w:jc w:val="center"/>
              <w:cnfStyle w:val="100000000000" w:firstRow="1" w:lastRow="0" w:firstColumn="0" w:lastColumn="0" w:oddVBand="0" w:evenVBand="0" w:oddHBand="0" w:evenHBand="0" w:firstRowFirstColumn="0" w:firstRowLastColumn="0" w:lastRowFirstColumn="0" w:lastRowLastColumn="0"/>
              <w:rPr>
                <w:rFonts w:ascii="Arial" w:hAnsi="Arial" w:cs="Arial"/>
                <w:b w:val="false"/>
                <w:b w:val="false"/>
                <w:bCs w:val="false"/>
                <w:color w:val="000000"/>
                <w:sz w:val="20"/>
                <w:szCs w:val="20"/>
              </w:rPr>
            </w:pPr>
            <w:r>
              <w:rPr>
                <w:rFonts w:eastAsia="Arial Unicode MS" w:cs="Arial" w:ascii="Arial" w:hAnsi="Arial"/>
                <w:b/>
                <w:bCs/>
                <w:color w:val="000000"/>
                <w:kern w:val="0"/>
                <w:sz w:val="20"/>
                <w:szCs w:val="20"/>
                <w:lang w:val="pt-BR" w:bidi="ar-SA"/>
              </w:rPr>
              <w:t>pH 4</w:t>
            </w:r>
          </w:p>
        </w:tc>
        <w:tc>
          <w:tcPr>
            <w:tcW w:w="1440" w:type="dxa"/>
            <w:tcBorders/>
            <w:vAlign w:val="center"/>
          </w:tcPr>
          <w:p>
            <w:pPr>
              <w:pStyle w:val="Normal"/>
              <w:widowControl w:val="false"/>
              <w:spacing w:before="0" w:after="0"/>
              <w:jc w:val="center"/>
              <w:cnfStyle w:val="100000000000" w:firstRow="1" w:lastRow="0" w:firstColumn="0" w:lastColumn="0" w:oddVBand="0" w:evenVBand="0" w:oddHBand="0" w:evenHBand="0" w:firstRowFirstColumn="0" w:firstRowLastColumn="0" w:lastRowFirstColumn="0" w:lastRowLastColumn="0"/>
              <w:rPr>
                <w:rFonts w:ascii="Arial" w:hAnsi="Arial" w:cs="Arial"/>
                <w:b w:val="false"/>
                <w:b w:val="false"/>
                <w:bCs w:val="false"/>
                <w:color w:val="000000"/>
                <w:sz w:val="20"/>
                <w:szCs w:val="20"/>
              </w:rPr>
            </w:pPr>
            <w:r>
              <w:rPr>
                <w:rFonts w:eastAsia="Arial Unicode MS" w:cs="Arial" w:ascii="Arial" w:hAnsi="Arial"/>
                <w:b/>
                <w:bCs/>
                <w:color w:val="000000"/>
                <w:kern w:val="0"/>
                <w:sz w:val="20"/>
                <w:szCs w:val="20"/>
                <w:lang w:val="pt-BR" w:bidi="ar-SA"/>
              </w:rPr>
              <w:t>pH 7</w:t>
            </w:r>
          </w:p>
        </w:tc>
        <w:tc>
          <w:tcPr>
            <w:tcW w:w="1675" w:type="dxa"/>
            <w:gridSpan w:val="2"/>
            <w:tcBorders/>
            <w:vAlign w:val="center"/>
          </w:tcPr>
          <w:p>
            <w:pPr>
              <w:pStyle w:val="Normal"/>
              <w:widowControl w:val="false"/>
              <w:spacing w:before="0" w:after="0"/>
              <w:jc w:val="center"/>
              <w:cnfStyle w:val="100000000000" w:firstRow="1" w:lastRow="0" w:firstColumn="0" w:lastColumn="0" w:oddVBand="0" w:evenVBand="0" w:oddHBand="0" w:evenHBand="0" w:firstRowFirstColumn="0" w:firstRowLastColumn="0" w:lastRowFirstColumn="0" w:lastRowLastColumn="0"/>
              <w:rPr>
                <w:rFonts w:ascii="Arial" w:hAnsi="Arial" w:cs="Arial"/>
                <w:b w:val="false"/>
                <w:b w:val="false"/>
                <w:bCs w:val="false"/>
                <w:color w:val="000000"/>
                <w:sz w:val="20"/>
                <w:szCs w:val="20"/>
              </w:rPr>
            </w:pPr>
            <w:r>
              <w:rPr>
                <w:rFonts w:eastAsia="Arial Unicode MS" w:cs="Arial" w:ascii="Arial" w:hAnsi="Arial"/>
                <w:b/>
                <w:bCs/>
                <w:color w:val="000000"/>
                <w:kern w:val="0"/>
                <w:sz w:val="20"/>
                <w:szCs w:val="20"/>
                <w:lang w:val="pt-BR" w:bidi="ar-SA"/>
              </w:rPr>
              <w:t>pH 12</w:t>
            </w:r>
          </w:p>
        </w:tc>
      </w:tr>
      <w:tr>
        <w:trPr>
          <w:trHeight w:val="300" w:hRule="atLeast"/>
          <w:cnfStyle w:val="000000100000" w:firstRow="0" w:lastRow="0" w:firstColumn="0" w:lastColumn="0" w:oddVBand="0" w:evenVBand="0" w:oddHBand="1" w:evenHBand="0" w:firstRowFirstColumn="0" w:firstRowLastColumn="0" w:lastRowFirstColumn="0" w:lastRowLastColumn="0"/>
        </w:trPr>
        <w:tc>
          <w:tcPr>
            <w:tcW w:w="1599" w:type="dxa"/>
            <w:cnfStyle w:val="001000000000" w:firstRow="0" w:lastRow="0" w:firstColumn="1" w:lastColumn="0" w:oddVBand="0" w:evenVBand="0" w:oddHBand="0" w:evenHBand="0" w:firstRowFirstColumn="0" w:firstRowLastColumn="0" w:lastRowFirstColumn="0" w:lastRowLastColumn="0"/>
            <w:tcBorders>
              <w:top w:val="nil"/>
              <w:bottom w:val="nil"/>
            </w:tcBorders>
            <w:shd w:color="auto" w:fill="DBE5F1" w:themeFill="accent1" w:themeFillTint="33" w:val="clear"/>
          </w:tcPr>
          <w:p>
            <w:pPr>
              <w:pStyle w:val="Normal"/>
              <w:widowControl w:val="false"/>
              <w:spacing w:before="0" w:after="0"/>
              <w:jc w:val="center"/>
              <w:rPr>
                <w:rFonts w:ascii="Arial" w:hAnsi="Arial" w:cs="Arial"/>
                <w:b w:val="false"/>
                <w:b w:val="false"/>
                <w:bCs w:val="false"/>
                <w:color w:val="000000"/>
                <w:sz w:val="20"/>
                <w:szCs w:val="20"/>
              </w:rPr>
            </w:pPr>
            <w:r>
              <w:rPr>
                <w:rFonts w:eastAsia="Arial Unicode MS" w:cs="Arial" w:ascii="Arial" w:hAnsi="Arial"/>
                <w:b/>
                <w:bCs/>
                <w:color w:val="000000"/>
                <w:kern w:val="0"/>
                <w:sz w:val="20"/>
                <w:szCs w:val="20"/>
                <w:lang w:val="pt-BR" w:bidi="ar-SA"/>
              </w:rPr>
              <w:t>Mínimo O.D</w:t>
            </w:r>
          </w:p>
        </w:tc>
        <w:tc>
          <w:tcPr>
            <w:tcW w:w="1460" w:type="dxa"/>
            <w:tcBorders>
              <w:top w:val="nil"/>
              <w:bottom w:val="nil"/>
            </w:tcBorders>
            <w:shd w:color="auto" w:fill="DBE5F1" w:themeFill="accent1" w:themeFillTint="33" w:val="clear"/>
          </w:tcPr>
          <w:p>
            <w:pPr>
              <w:pStyle w:val="Normal"/>
              <w:widowControl w:val="false"/>
              <w:spacing w:before="0" w:after="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Pr>
                <w:rFonts w:eastAsia="Arial Unicode MS" w:cs="Arial" w:ascii="Arial" w:hAnsi="Arial"/>
                <w:color w:val="000000"/>
                <w:kern w:val="0"/>
                <w:sz w:val="20"/>
                <w:szCs w:val="20"/>
                <w:lang w:val="pt-BR" w:bidi="ar-SA"/>
              </w:rPr>
              <w:t>0.146</w:t>
            </w:r>
          </w:p>
        </w:tc>
        <w:tc>
          <w:tcPr>
            <w:tcW w:w="1440" w:type="dxa"/>
            <w:tcBorders>
              <w:top w:val="nil"/>
              <w:bottom w:val="nil"/>
            </w:tcBorders>
            <w:shd w:color="auto" w:fill="DBE5F1" w:themeFill="accent1" w:themeFillTint="33" w:val="clear"/>
          </w:tcPr>
          <w:p>
            <w:pPr>
              <w:pStyle w:val="Normal"/>
              <w:widowControl w:val="false"/>
              <w:spacing w:before="0" w:after="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Pr>
                <w:rFonts w:eastAsia="Arial Unicode MS" w:cs="Arial" w:ascii="Arial" w:hAnsi="Arial"/>
                <w:color w:val="000000"/>
                <w:kern w:val="0"/>
                <w:sz w:val="20"/>
                <w:szCs w:val="20"/>
                <w:lang w:val="pt-BR" w:bidi="ar-SA"/>
              </w:rPr>
              <w:t>0.053</w:t>
            </w:r>
          </w:p>
        </w:tc>
        <w:tc>
          <w:tcPr>
            <w:tcW w:w="1440" w:type="dxa"/>
            <w:tcBorders>
              <w:top w:val="nil"/>
              <w:bottom w:val="nil"/>
            </w:tcBorders>
            <w:shd w:color="auto" w:fill="DBE5F1" w:themeFill="accent1" w:themeFillTint="33" w:val="clear"/>
          </w:tcPr>
          <w:p>
            <w:pPr>
              <w:pStyle w:val="Normal"/>
              <w:widowControl w:val="false"/>
              <w:spacing w:before="0" w:after="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Pr>
                <w:rFonts w:eastAsia="Arial Unicode MS" w:cs="Arial" w:ascii="Arial" w:hAnsi="Arial"/>
                <w:color w:val="000000"/>
                <w:kern w:val="0"/>
                <w:sz w:val="20"/>
                <w:szCs w:val="20"/>
                <w:lang w:val="pt-BR" w:bidi="ar-SA"/>
              </w:rPr>
              <w:t>0.066</w:t>
            </w:r>
          </w:p>
        </w:tc>
        <w:tc>
          <w:tcPr>
            <w:tcW w:w="1440" w:type="dxa"/>
            <w:tcBorders>
              <w:top w:val="nil"/>
              <w:bottom w:val="nil"/>
            </w:tcBorders>
            <w:shd w:color="auto" w:fill="DBE5F1" w:themeFill="accent1" w:themeFillTint="33" w:val="clear"/>
          </w:tcPr>
          <w:p>
            <w:pPr>
              <w:pStyle w:val="Normal"/>
              <w:widowControl w:val="false"/>
              <w:spacing w:before="0" w:after="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Pr>
                <w:rFonts w:eastAsia="Arial Unicode MS" w:cs="Arial" w:ascii="Arial" w:hAnsi="Arial"/>
                <w:color w:val="000000"/>
                <w:kern w:val="0"/>
                <w:sz w:val="20"/>
                <w:szCs w:val="20"/>
                <w:lang w:val="pt-BR" w:bidi="ar-SA"/>
              </w:rPr>
              <w:t>0.076</w:t>
            </w:r>
          </w:p>
        </w:tc>
        <w:tc>
          <w:tcPr>
            <w:tcW w:w="235" w:type="dxa"/>
            <w:tcBorders>
              <w:top w:val="nil"/>
              <w:bottom w:val="nil"/>
            </w:tcBorders>
            <w:shd w:color="auto" w:fill="DBE5F1" w:themeFill="accent1" w:themeFillTint="33" w:val="clear"/>
          </w:tcPr>
          <w:p>
            <w:pPr>
              <w:pStyle w:val="Normal"/>
              <w:widowControl w:val="false"/>
              <w:spacing w:before="0" w:after="0"/>
              <w:jc w:val="left"/>
              <w:rPr>
                <w:rFonts w:ascii="Times New Roman" w:hAnsi="Times New Roman" w:eastAsia="Arial Unicode MS" w:cs="Times New Roman"/>
                <w:color w:val="365F91"/>
                <w:kern w:val="0"/>
                <w:lang w:val="pt-BR" w:bidi="ar-SA"/>
              </w:rPr>
            </w:pPr>
            <w:r>
              <w:rPr>
                <w:rFonts w:eastAsia="Arial Unicode MS" w:cs="Times New Roman"/>
                <w:color w:val="365F91"/>
                <w:kern w:val="0"/>
                <w:lang w:val="pt-BR" w:bidi="ar-SA"/>
              </w:rPr>
            </w:r>
          </w:p>
        </w:tc>
      </w:tr>
      <w:tr>
        <w:trPr>
          <w:trHeight w:val="300" w:hRule="atLeast"/>
        </w:trPr>
        <w:tc>
          <w:tcPr>
            <w:tcW w:w="1599" w:type="dxa"/>
            <w:cnfStyle w:val="001000000000" w:firstRow="0" w:lastRow="0" w:firstColumn="1" w:lastColumn="0" w:oddVBand="0" w:evenVBand="0" w:oddHBand="0" w:evenHBand="0" w:firstRowFirstColumn="0" w:firstRowLastColumn="0" w:lastRowFirstColumn="0" w:lastRowLastColumn="0"/>
            <w:tcBorders>
              <w:top w:val="nil"/>
              <w:bottom w:val="nil"/>
            </w:tcBorders>
          </w:tcPr>
          <w:p>
            <w:pPr>
              <w:pStyle w:val="Normal"/>
              <w:widowControl w:val="false"/>
              <w:spacing w:before="0" w:after="0"/>
              <w:jc w:val="center"/>
              <w:rPr>
                <w:rFonts w:ascii="Arial" w:hAnsi="Arial" w:cs="Arial"/>
                <w:b w:val="false"/>
                <w:b w:val="false"/>
                <w:bCs w:val="false"/>
                <w:color w:val="000000"/>
                <w:sz w:val="20"/>
                <w:szCs w:val="20"/>
              </w:rPr>
            </w:pPr>
            <w:r>
              <w:rPr>
                <w:rFonts w:eastAsia="Arial Unicode MS" w:cs="Arial" w:ascii="Arial" w:hAnsi="Arial"/>
                <w:b/>
                <w:bCs/>
                <w:color w:val="000000"/>
                <w:kern w:val="0"/>
                <w:sz w:val="20"/>
                <w:szCs w:val="20"/>
                <w:lang w:val="pt-BR" w:bidi="ar-SA"/>
              </w:rPr>
              <w:t>Média O.D</w:t>
            </w:r>
          </w:p>
        </w:tc>
        <w:tc>
          <w:tcPr>
            <w:tcW w:w="1460" w:type="dxa"/>
            <w:tcBorders>
              <w:top w:val="nil"/>
              <w:bottom w:val="nil"/>
            </w:tcBorders>
          </w:tcPr>
          <w:p>
            <w:pPr>
              <w:pStyle w:val="Normal"/>
              <w:widowControl w:val="false"/>
              <w:spacing w:before="0" w:after="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Pr>
                <w:rFonts w:eastAsia="Arial Unicode MS" w:cs="Arial" w:ascii="Arial" w:hAnsi="Arial"/>
                <w:color w:val="000000"/>
                <w:kern w:val="0"/>
                <w:sz w:val="20"/>
                <w:szCs w:val="20"/>
                <w:lang w:val="pt-BR" w:bidi="ar-SA"/>
              </w:rPr>
              <w:t>2.911± 0.197</w:t>
            </w:r>
          </w:p>
        </w:tc>
        <w:tc>
          <w:tcPr>
            <w:tcW w:w="1440" w:type="dxa"/>
            <w:tcBorders>
              <w:top w:val="nil"/>
              <w:bottom w:val="nil"/>
            </w:tcBorders>
          </w:tcPr>
          <w:p>
            <w:pPr>
              <w:pStyle w:val="Normal"/>
              <w:widowControl w:val="false"/>
              <w:spacing w:before="0" w:after="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Pr>
                <w:rFonts w:eastAsia="Arial Unicode MS" w:cs="Arial" w:ascii="Arial" w:hAnsi="Arial"/>
                <w:color w:val="000000"/>
                <w:kern w:val="0"/>
                <w:sz w:val="20"/>
                <w:szCs w:val="20"/>
                <w:lang w:val="pt-BR" w:bidi="ar-SA"/>
              </w:rPr>
              <w:t>1.397 ± 0.231</w:t>
            </w:r>
          </w:p>
        </w:tc>
        <w:tc>
          <w:tcPr>
            <w:tcW w:w="1440" w:type="dxa"/>
            <w:tcBorders>
              <w:top w:val="nil"/>
              <w:bottom w:val="nil"/>
            </w:tcBorders>
          </w:tcPr>
          <w:p>
            <w:pPr>
              <w:pStyle w:val="Normal"/>
              <w:widowControl w:val="false"/>
              <w:spacing w:before="0" w:after="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Pr>
                <w:rFonts w:eastAsia="Arial Unicode MS" w:cs="Arial" w:ascii="Arial" w:hAnsi="Arial"/>
                <w:color w:val="000000"/>
                <w:kern w:val="0"/>
                <w:sz w:val="20"/>
                <w:szCs w:val="20"/>
                <w:lang w:val="pt-BR" w:bidi="ar-SA"/>
              </w:rPr>
              <w:t>1.412 ± 0.186</w:t>
            </w:r>
          </w:p>
        </w:tc>
        <w:tc>
          <w:tcPr>
            <w:tcW w:w="1675" w:type="dxa"/>
            <w:gridSpan w:val="2"/>
            <w:tcBorders>
              <w:top w:val="nil"/>
              <w:bottom w:val="nil"/>
            </w:tcBorders>
          </w:tcPr>
          <w:p>
            <w:pPr>
              <w:pStyle w:val="Normal"/>
              <w:widowControl w:val="false"/>
              <w:spacing w:before="0" w:after="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Pr>
                <w:rFonts w:eastAsia="Arial Unicode MS" w:cs="Arial" w:ascii="Arial" w:hAnsi="Arial"/>
                <w:color w:val="000000"/>
                <w:kern w:val="0"/>
                <w:sz w:val="20"/>
                <w:szCs w:val="20"/>
                <w:lang w:val="pt-BR" w:bidi="ar-SA"/>
              </w:rPr>
              <w:t>1.716 ± 0.153</w:t>
            </w:r>
          </w:p>
        </w:tc>
      </w:tr>
      <w:tr>
        <w:trPr>
          <w:trHeight w:val="300" w:hRule="atLeast"/>
          <w:cnfStyle w:val="000000100000" w:firstRow="0" w:lastRow="0" w:firstColumn="0" w:lastColumn="0" w:oddVBand="0" w:evenVBand="0" w:oddHBand="1" w:evenHBand="0" w:firstRowFirstColumn="0" w:firstRowLastColumn="0" w:lastRowFirstColumn="0" w:lastRowLastColumn="0"/>
        </w:trPr>
        <w:tc>
          <w:tcPr>
            <w:tcW w:w="1599" w:type="dxa"/>
            <w:cnfStyle w:val="001000000000" w:firstRow="0" w:lastRow="0" w:firstColumn="1" w:lastColumn="0" w:oddVBand="0" w:evenVBand="0" w:oddHBand="0" w:evenHBand="0" w:firstRowFirstColumn="0" w:firstRowLastColumn="0" w:lastRowFirstColumn="0" w:lastRowLastColumn="0"/>
            <w:tcBorders>
              <w:top w:val="nil"/>
            </w:tcBorders>
            <w:shd w:color="auto" w:fill="DBE5F1" w:themeFill="accent1" w:themeFillTint="33" w:val="clear"/>
          </w:tcPr>
          <w:p>
            <w:pPr>
              <w:pStyle w:val="Normal"/>
              <w:widowControl w:val="false"/>
              <w:spacing w:before="0" w:after="0"/>
              <w:jc w:val="center"/>
              <w:rPr>
                <w:rFonts w:ascii="Arial" w:hAnsi="Arial" w:cs="Arial"/>
                <w:b w:val="false"/>
                <w:b w:val="false"/>
                <w:bCs w:val="false"/>
                <w:color w:val="000000"/>
                <w:sz w:val="20"/>
                <w:szCs w:val="20"/>
              </w:rPr>
            </w:pPr>
            <w:r>
              <w:rPr>
                <w:rFonts w:eastAsia="Arial Unicode MS" w:cs="Arial" w:ascii="Arial" w:hAnsi="Arial"/>
                <w:b/>
                <w:bCs/>
                <w:color w:val="000000"/>
                <w:kern w:val="0"/>
                <w:sz w:val="20"/>
                <w:szCs w:val="20"/>
                <w:lang w:val="pt-BR" w:bidi="ar-SA"/>
              </w:rPr>
              <w:t>Máximo O.D</w:t>
            </w:r>
          </w:p>
        </w:tc>
        <w:tc>
          <w:tcPr>
            <w:tcW w:w="1460" w:type="dxa"/>
            <w:tcBorders>
              <w:top w:val="nil"/>
            </w:tcBorders>
            <w:shd w:color="auto" w:fill="DBE5F1" w:themeFill="accent1" w:themeFillTint="33" w:val="clear"/>
          </w:tcPr>
          <w:p>
            <w:pPr>
              <w:pStyle w:val="Normal"/>
              <w:widowControl w:val="false"/>
              <w:spacing w:before="0" w:after="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Pr>
                <w:rFonts w:eastAsia="Arial Unicode MS" w:cs="Arial" w:ascii="Arial" w:hAnsi="Arial"/>
                <w:color w:val="000000"/>
                <w:kern w:val="0"/>
                <w:sz w:val="20"/>
                <w:szCs w:val="20"/>
                <w:lang w:val="pt-BR" w:bidi="ar-SA"/>
              </w:rPr>
              <w:t>4.335</w:t>
            </w:r>
          </w:p>
        </w:tc>
        <w:tc>
          <w:tcPr>
            <w:tcW w:w="1440" w:type="dxa"/>
            <w:tcBorders>
              <w:top w:val="nil"/>
            </w:tcBorders>
            <w:shd w:color="auto" w:fill="DBE5F1" w:themeFill="accent1" w:themeFillTint="33" w:val="clear"/>
          </w:tcPr>
          <w:p>
            <w:pPr>
              <w:pStyle w:val="Normal"/>
              <w:widowControl w:val="false"/>
              <w:spacing w:before="0" w:after="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Pr>
                <w:rFonts w:eastAsia="Arial Unicode MS" w:cs="Arial" w:ascii="Arial" w:hAnsi="Arial"/>
                <w:color w:val="000000"/>
                <w:kern w:val="0"/>
                <w:sz w:val="20"/>
                <w:szCs w:val="20"/>
                <w:lang w:val="pt-BR" w:bidi="ar-SA"/>
              </w:rPr>
              <w:t>2.846</w:t>
            </w:r>
          </w:p>
        </w:tc>
        <w:tc>
          <w:tcPr>
            <w:tcW w:w="1440" w:type="dxa"/>
            <w:tcBorders>
              <w:top w:val="nil"/>
            </w:tcBorders>
            <w:shd w:color="auto" w:fill="DBE5F1" w:themeFill="accent1" w:themeFillTint="33" w:val="clear"/>
          </w:tcPr>
          <w:p>
            <w:pPr>
              <w:pStyle w:val="Normal"/>
              <w:widowControl w:val="false"/>
              <w:spacing w:before="0" w:after="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Pr>
                <w:rFonts w:eastAsia="Arial Unicode MS" w:cs="Arial" w:ascii="Arial" w:hAnsi="Arial"/>
                <w:color w:val="000000"/>
                <w:kern w:val="0"/>
                <w:sz w:val="20"/>
                <w:szCs w:val="20"/>
                <w:lang w:val="pt-BR" w:bidi="ar-SA"/>
              </w:rPr>
              <w:t>2.884</w:t>
            </w:r>
          </w:p>
        </w:tc>
        <w:tc>
          <w:tcPr>
            <w:tcW w:w="1675" w:type="dxa"/>
            <w:gridSpan w:val="2"/>
            <w:tcBorders>
              <w:top w:val="nil"/>
            </w:tcBorders>
            <w:shd w:color="auto" w:fill="DBE5F1" w:themeFill="accent1" w:themeFillTint="33" w:val="clear"/>
          </w:tcPr>
          <w:p>
            <w:pPr>
              <w:pStyle w:val="Normal"/>
              <w:widowControl w:val="false"/>
              <w:spacing w:before="0" w:after="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Pr>
                <w:rFonts w:eastAsia="Arial Unicode MS" w:cs="Arial" w:ascii="Arial" w:hAnsi="Arial"/>
                <w:color w:val="000000"/>
                <w:kern w:val="0"/>
                <w:sz w:val="20"/>
                <w:szCs w:val="20"/>
                <w:lang w:val="pt-BR" w:bidi="ar-SA"/>
              </w:rPr>
              <w:t>2.819</w:t>
            </w:r>
          </w:p>
        </w:tc>
      </w:tr>
    </w:tbl>
    <w:p>
      <w:pPr>
        <w:pStyle w:val="LOnormal"/>
        <w:spacing w:lineRule="auto" w:line="276" w:before="240" w:after="0"/>
        <w:ind w:left="20" w:hanging="0"/>
        <w:jc w:val="both"/>
        <w:rPr>
          <w:rFonts w:ascii="Arial" w:hAnsi="Arial" w:cs="Arial"/>
          <w:b/>
          <w:b/>
          <w:bCs/>
          <w:color w:val="000000"/>
          <w:sz w:val="20"/>
          <w:szCs w:val="20"/>
          <w:u w:val="none" w:color="000000"/>
          <w:lang w:val="pt-BR"/>
        </w:rPr>
      </w:pPr>
      <w:r>
        <w:rPr>
          <w:rFonts w:cs="Arial" w:ascii="Arial" w:hAnsi="Arial"/>
          <w:b/>
          <w:bCs/>
          <w:color w:val="000000"/>
          <w:sz w:val="20"/>
          <w:szCs w:val="20"/>
          <w:u w:val="none" w:color="000000"/>
          <w:lang w:val="pt-BR"/>
        </w:rPr>
      </w:r>
    </w:p>
    <w:p>
      <w:pPr>
        <w:pStyle w:val="LOnormal"/>
        <w:rPr>
          <w:rFonts w:ascii="Arial" w:hAnsi="Arial" w:cs="Arial"/>
          <w:color w:val="000000"/>
          <w:sz w:val="22"/>
          <w:szCs w:val="22"/>
          <w:u w:val="none" w:color="000000"/>
          <w:lang w:val="pt-BR"/>
        </w:rPr>
      </w:pPr>
      <w:r>
        <w:rPr>
          <w:rFonts w:cs="Arial" w:ascii="Arial" w:hAnsi="Arial"/>
          <w:color w:val="000000"/>
          <w:sz w:val="22"/>
          <w:szCs w:val="22"/>
          <w:u w:val="none" w:color="000000"/>
          <w:lang w:val="pt-BR"/>
        </w:rPr>
        <w:drawing>
          <wp:anchor behindDoc="0" distT="152400" distB="152400" distL="152400" distR="152400" simplePos="0" locked="0" layoutInCell="0" allowOverlap="1" relativeHeight="3">
            <wp:simplePos x="0" y="0"/>
            <wp:positionH relativeFrom="page">
              <wp:posOffset>-6350</wp:posOffset>
            </wp:positionH>
            <wp:positionV relativeFrom="page">
              <wp:posOffset>92075</wp:posOffset>
            </wp:positionV>
            <wp:extent cx="7556500" cy="1115060"/>
            <wp:effectExtent l="0" t="0" r="0" b="0"/>
            <wp:wrapTopAndBottom/>
            <wp:docPr id="2" name="Figura1"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Cabeçalho SBSS-02.jpg"/>
                    <pic:cNvPicPr>
                      <a:picLocks noChangeAspect="1" noChangeArrowheads="1"/>
                    </pic:cNvPicPr>
                  </pic:nvPicPr>
                  <pic:blipFill>
                    <a:blip r:embed="rId3"/>
                    <a:stretch>
                      <a:fillRect/>
                    </a:stretch>
                  </pic:blipFill>
                  <pic:spPr bwMode="auto">
                    <a:xfrm>
                      <a:off x="0" y="0"/>
                      <a:ext cx="7556500" cy="1115060"/>
                    </a:xfrm>
                    <a:prstGeom prst="rect">
                      <a:avLst/>
                    </a:prstGeom>
                  </pic:spPr>
                </pic:pic>
              </a:graphicData>
            </a:graphic>
          </wp:anchor>
        </w:drawing>
      </w:r>
    </w:p>
    <w:p>
      <w:pPr>
        <w:pStyle w:val="LOnormal"/>
        <w:jc w:val="both"/>
        <w:rPr>
          <w:rFonts w:ascii="Arial" w:hAnsi="Arial" w:cs="Arial"/>
          <w:sz w:val="22"/>
          <w:lang w:val="pt-BR"/>
        </w:rPr>
      </w:pPr>
      <w:r>
        <w:rPr>
          <w:rFonts w:cs="Arial" w:ascii="Arial" w:hAnsi="Arial"/>
          <w:b/>
          <w:bCs/>
          <w:color w:val="000000"/>
          <w:sz w:val="20"/>
          <w:szCs w:val="22"/>
          <w:u w:val="none" w:color="000000"/>
          <w:lang w:val="pt-BR"/>
        </w:rPr>
        <w:t xml:space="preserve">      </w:t>
      </w:r>
      <w:r>
        <w:rPr>
          <w:rFonts w:cs="Arial" w:ascii="Arial" w:hAnsi="Arial"/>
          <w:color w:val="000000"/>
          <w:sz w:val="20"/>
          <w:szCs w:val="22"/>
          <w:u w:val="none" w:color="000000"/>
          <w:lang w:val="pt-BR"/>
        </w:rPr>
        <w:t xml:space="preserve">                   </w:t>
      </w:r>
    </w:p>
    <w:p>
      <w:pPr>
        <w:pStyle w:val="LOnormal"/>
        <w:jc w:val="both"/>
        <w:rPr>
          <w:rFonts w:ascii="Arial" w:hAnsi="Arial" w:cs="Arial"/>
          <w:color w:val="000000"/>
          <w:sz w:val="22"/>
          <w:szCs w:val="22"/>
          <w:u w:val="none" w:color="000000"/>
          <w:lang w:val="pt-BR"/>
        </w:rPr>
      </w:pPr>
      <w:r>
        <w:rPr>
          <w:rFonts w:cs="Arial" w:ascii="Arial" w:hAnsi="Arial"/>
          <w:b/>
          <w:bCs/>
          <w:color w:val="000000"/>
          <w:sz w:val="22"/>
          <w:szCs w:val="22"/>
          <w:u w:val="none" w:color="000000"/>
          <w:lang w:val="pt-BR"/>
        </w:rPr>
        <w:t>Conclusão</w:t>
      </w:r>
      <w:r>
        <w:rPr>
          <w:rFonts w:cs="Arial" w:ascii="Arial" w:hAnsi="Arial"/>
          <w:color w:val="000000"/>
          <w:sz w:val="22"/>
          <w:szCs w:val="22"/>
          <w:u w:val="none" w:color="000000"/>
          <w:lang w:val="pt-BR"/>
        </w:rPr>
        <w:t xml:space="preserve">: </w:t>
      </w:r>
      <w:r>
        <w:rPr>
          <w:rFonts w:cs="Arial" w:ascii="Arial" w:hAnsi="Arial"/>
          <w:color w:val="000000"/>
          <w:sz w:val="22"/>
          <w:szCs w:val="22"/>
          <w:lang w:val="pt-BR"/>
        </w:rPr>
        <w:t>os dados deste trabalho mostram a importância de manter o controle da qualidade da água utilizada nos programas de limpeza como pH e temperatura, além de monitorar a capacidade de remoção de biofilme, uma vez que a presença de biofilmes em equipamentos ou reservatórios de leite pode resultar em um aumento na CBT e recorrência de casos de mastites contagiosas.</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spacing w:before="0" w:after="240"/>
        <w:jc w:val="both"/>
        <w:rPr>
          <w:rFonts w:ascii="Arial" w:hAnsi="Arial" w:cs="Arial"/>
          <w:color w:val="000000"/>
          <w:sz w:val="22"/>
          <w:szCs w:val="22"/>
          <w:lang w:val="pt-BR"/>
        </w:rPr>
      </w:pPr>
      <w:r>
        <w:rPr>
          <w:rFonts w:cs="Arial" w:ascii="Arial" w:hAnsi="Arial"/>
          <w:b/>
          <w:bCs/>
          <w:color w:val="000000"/>
          <w:sz w:val="22"/>
          <w:szCs w:val="22"/>
          <w:u w:val="none" w:color="000000"/>
          <w:lang w:val="pt-BR"/>
        </w:rPr>
        <w:t xml:space="preserve">Agradecimento: </w:t>
      </w:r>
      <w:r>
        <w:rPr>
          <w:rFonts w:cs="Arial" w:ascii="Arial" w:hAnsi="Arial"/>
          <w:color w:val="000000"/>
          <w:sz w:val="22"/>
          <w:szCs w:val="22"/>
          <w:lang w:val="pt-BR"/>
        </w:rPr>
        <w:t>a UFSC pelo apoio, ao VERTÀ Laboratórios, pelo fornecimento de materiais.</w:t>
      </w:r>
    </w:p>
    <w:p>
      <w:pPr>
        <w:pStyle w:val="LOnormal"/>
        <w:spacing w:before="0" w:after="240"/>
        <w:jc w:val="both"/>
        <w:rPr>
          <w:rFonts w:ascii="Arial" w:hAnsi="Arial" w:cs="Arial"/>
          <w:b/>
          <w:b/>
          <w:bCs/>
          <w:color w:val="000000"/>
          <w:sz w:val="22"/>
          <w:szCs w:val="22"/>
          <w:u w:val="none" w:color="000000"/>
          <w:lang w:val="pt-BR"/>
        </w:rPr>
      </w:pPr>
      <w:r>
        <w:rPr>
          <w:rFonts w:cs="Arial" w:ascii="Arial" w:hAnsi="Arial"/>
          <w:b/>
          <w:bCs/>
          <w:color w:val="000000"/>
          <w:sz w:val="22"/>
          <w:szCs w:val="22"/>
          <w:u w:val="none" w:color="000000"/>
          <w:lang w:val="pt-BR"/>
        </w:rPr>
        <w:t xml:space="preserve">Referências: </w:t>
      </w:r>
    </w:p>
    <w:p>
      <w:pPr>
        <w:pStyle w:val="LOnormal"/>
        <w:spacing w:before="0" w:after="240"/>
        <w:jc w:val="both"/>
        <w:rPr>
          <w:rFonts w:ascii="Arial" w:hAnsi="Arial" w:cs="Arial"/>
          <w:color w:val="000000"/>
          <w:sz w:val="22"/>
          <w:szCs w:val="22"/>
          <w:lang w:val="pt-BR"/>
        </w:rPr>
      </w:pPr>
      <w:r>
        <w:rPr>
          <w:rFonts w:cs="Arial" w:ascii="Arial" w:hAnsi="Arial"/>
          <w:color w:val="000000"/>
          <w:sz w:val="22"/>
          <w:szCs w:val="22"/>
          <w:lang w:val="pt-BR"/>
        </w:rPr>
        <w:t xml:space="preserve">CHAGAS, Laura Gonçalves da Silva et al. </w:t>
      </w:r>
      <w:r>
        <w:rPr>
          <w:rFonts w:cs="Arial" w:ascii="Arial" w:hAnsi="Arial"/>
          <w:color w:val="000000"/>
          <w:sz w:val="22"/>
          <w:szCs w:val="22"/>
        </w:rPr>
        <w:t xml:space="preserve">Evaluation of biofilm formation by bacterial strains isolated from milking equipment and milk samples from cows with mastitis. </w:t>
      </w:r>
      <w:r>
        <w:rPr>
          <w:rFonts w:cs="Arial" w:ascii="Arial" w:hAnsi="Arial"/>
          <w:b/>
          <w:bCs/>
          <w:color w:val="000000"/>
          <w:sz w:val="22"/>
          <w:szCs w:val="22"/>
          <w:lang w:val="pt-BR"/>
        </w:rPr>
        <w:t>Semina: Ciências Agrárias</w:t>
      </w:r>
      <w:r>
        <w:rPr>
          <w:rFonts w:cs="Arial" w:ascii="Arial" w:hAnsi="Arial"/>
          <w:color w:val="000000"/>
          <w:sz w:val="22"/>
          <w:szCs w:val="22"/>
          <w:lang w:val="pt-BR"/>
        </w:rPr>
        <w:t xml:space="preserve">, [S.L.], v. 38, n. 4, p. 1887-1895, 4 ago. 2017. Universidade Estadual de Londrina. </w:t>
      </w:r>
    </w:p>
    <w:p>
      <w:pPr>
        <w:pStyle w:val="NormalWeb"/>
        <w:spacing w:beforeAutospacing="0" w:before="0" w:afterAutospacing="0" w:after="240"/>
        <w:jc w:val="both"/>
        <w:rPr>
          <w:rFonts w:ascii="Arial" w:hAnsi="Arial" w:cs="Arial"/>
          <w:sz w:val="22"/>
          <w:szCs w:val="22"/>
          <w:lang w:val="en-US"/>
        </w:rPr>
      </w:pPr>
      <w:r>
        <w:rPr>
          <w:rFonts w:cs="Arial" w:ascii="Arial" w:hAnsi="Arial"/>
          <w:color w:val="000000"/>
          <w:sz w:val="22"/>
          <w:szCs w:val="22"/>
          <w:lang w:val="en-US"/>
        </w:rPr>
        <w:t xml:space="preserve">DONLAN, R. M. Biofilms: Microbial Life on Surfaces. </w:t>
      </w:r>
      <w:r>
        <w:rPr>
          <w:rFonts w:cs="Arial" w:ascii="Arial" w:hAnsi="Arial"/>
          <w:b/>
          <w:bCs/>
          <w:color w:val="000000"/>
          <w:sz w:val="22"/>
          <w:szCs w:val="22"/>
          <w:lang w:val="en-US"/>
        </w:rPr>
        <w:t>Emerging Infectious Diseases</w:t>
      </w:r>
      <w:r>
        <w:rPr>
          <w:rFonts w:cs="Arial" w:ascii="Arial" w:hAnsi="Arial"/>
          <w:color w:val="000000"/>
          <w:sz w:val="22"/>
          <w:szCs w:val="22"/>
          <w:lang w:val="en-US"/>
        </w:rPr>
        <w:t xml:space="preserve"> [s. l.], v. 8, n. 9, 2002. </w:t>
      </w:r>
    </w:p>
    <w:p>
      <w:pPr>
        <w:pStyle w:val="NormalWeb"/>
        <w:spacing w:beforeAutospacing="0" w:before="0" w:afterAutospacing="0" w:after="240"/>
        <w:jc w:val="both"/>
        <w:rPr>
          <w:rFonts w:ascii="Arial" w:hAnsi="Arial" w:cs="Arial"/>
          <w:color w:val="000000"/>
          <w:sz w:val="22"/>
          <w:szCs w:val="22"/>
          <w:lang w:val="en-US"/>
        </w:rPr>
      </w:pPr>
      <w:r>
        <w:rPr>
          <w:rFonts w:cs="Arial" w:ascii="Arial" w:hAnsi="Arial"/>
          <w:color w:val="000000"/>
          <w:sz w:val="22"/>
          <w:szCs w:val="22"/>
          <w:lang w:val="en-US"/>
        </w:rPr>
        <w:t xml:space="preserve">LIU, Cong et al. The Regulation of Bacterial Biofilm Formation by cAMP-CRP: A Mini-Review. [S. l.]: </w:t>
      </w:r>
      <w:r>
        <w:rPr>
          <w:rFonts w:cs="Arial" w:ascii="Arial" w:hAnsi="Arial"/>
          <w:b/>
          <w:bCs/>
          <w:color w:val="000000"/>
          <w:sz w:val="22"/>
          <w:szCs w:val="22"/>
          <w:lang w:val="en-US"/>
        </w:rPr>
        <w:t xml:space="preserve">Frontiers Media </w:t>
      </w:r>
      <w:r>
        <w:rPr>
          <w:rFonts w:cs="Arial" w:ascii="Arial" w:hAnsi="Arial"/>
          <w:color w:val="000000"/>
          <w:sz w:val="22"/>
          <w:szCs w:val="22"/>
          <w:lang w:val="en-US"/>
        </w:rPr>
        <w:t>S.A., 2020.</w:t>
      </w:r>
    </w:p>
    <w:p>
      <w:pPr>
        <w:pStyle w:val="NormalWeb"/>
        <w:spacing w:beforeAutospacing="0" w:before="0" w:afterAutospacing="0" w:after="240"/>
        <w:jc w:val="both"/>
        <w:rPr>
          <w:rFonts w:ascii="Arial" w:hAnsi="Arial" w:cs="Arial"/>
          <w:sz w:val="22"/>
          <w:szCs w:val="22"/>
        </w:rPr>
      </w:pPr>
      <w:r>
        <w:rPr>
          <w:rFonts w:cs="Arial" w:ascii="Arial" w:hAnsi="Arial"/>
          <w:color w:val="222222"/>
          <w:sz w:val="22"/>
          <w:szCs w:val="22"/>
          <w:shd w:fill="FFFFFF" w:val="clear"/>
          <w:lang w:val="en-US"/>
        </w:rPr>
        <w:t>LÓPEZ, C et al. Effect of milking hygiene, herd size, water hardness and temperature-humidity index on milk quality of dairy farms. </w:t>
      </w:r>
      <w:r>
        <w:rPr>
          <w:rStyle w:val="Strong"/>
          <w:rFonts w:cs="Arial" w:ascii="Arial" w:hAnsi="Arial"/>
          <w:color w:val="222222"/>
          <w:sz w:val="22"/>
          <w:szCs w:val="22"/>
          <w:shd w:fill="FFFFFF" w:val="clear"/>
        </w:rPr>
        <w:t>Revista Brasileira de Zootecnia</w:t>
      </w:r>
      <w:r>
        <w:rPr>
          <w:rFonts w:cs="Arial" w:ascii="Arial" w:hAnsi="Arial"/>
          <w:color w:val="222222"/>
          <w:sz w:val="22"/>
          <w:szCs w:val="22"/>
          <w:shd w:fill="FFFFFF" w:val="clear"/>
        </w:rPr>
        <w:t>, [s.l.], v. 52. 2023.</w:t>
      </w:r>
    </w:p>
    <w:p>
      <w:pPr>
        <w:pStyle w:val="NormalWeb"/>
        <w:spacing w:beforeAutospacing="0" w:before="240" w:afterAutospacing="0" w:after="240"/>
        <w:jc w:val="both"/>
        <w:rPr>
          <w:rFonts w:ascii="Arial" w:hAnsi="Arial" w:cs="Arial"/>
          <w:sz w:val="22"/>
          <w:szCs w:val="22"/>
        </w:rPr>
      </w:pPr>
      <w:r>
        <w:rPr>
          <w:rFonts w:cs="Arial" w:ascii="Arial" w:hAnsi="Arial"/>
          <w:color w:val="222222"/>
          <w:sz w:val="22"/>
          <w:szCs w:val="22"/>
        </w:rPr>
        <w:t xml:space="preserve">MOURA, F. M.L. </w:t>
      </w:r>
      <w:r>
        <w:rPr>
          <w:rFonts w:cs="Arial" w:ascii="Arial" w:hAnsi="Arial"/>
          <w:b/>
          <w:bCs/>
          <w:color w:val="222222"/>
          <w:sz w:val="22"/>
          <w:szCs w:val="22"/>
        </w:rPr>
        <w:t>Formação de biofilme e perfil de resistência a antimicrobianos e sanitizantes de Listeria monocytogenes isolados de leite de tanques de expansão</w:t>
      </w:r>
      <w:r>
        <w:rPr>
          <w:rFonts w:cs="Arial" w:ascii="Arial" w:hAnsi="Arial"/>
          <w:color w:val="222222"/>
          <w:sz w:val="22"/>
          <w:szCs w:val="22"/>
        </w:rPr>
        <w:t>. 2018. 86 f. Tese (Doutorado) Universidade Federal Rural de Pernambuco, Recife, 2018. </w:t>
      </w:r>
    </w:p>
    <w:p>
      <w:pPr>
        <w:pStyle w:val="NormalWeb"/>
        <w:spacing w:beforeAutospacing="0" w:before="0" w:afterAutospacing="0" w:after="240"/>
        <w:jc w:val="both"/>
        <w:rPr>
          <w:rFonts w:ascii="Arial" w:hAnsi="Arial" w:cs="Arial"/>
          <w:sz w:val="22"/>
          <w:szCs w:val="22"/>
          <w:lang w:val="en-US"/>
        </w:rPr>
      </w:pPr>
      <w:r>
        <w:rPr>
          <w:rFonts w:cs="Arial" w:ascii="Arial" w:hAnsi="Arial"/>
          <w:color w:val="000000"/>
          <w:sz w:val="22"/>
          <w:szCs w:val="22"/>
        </w:rPr>
        <w:t xml:space="preserve">MØRETRØ, Trond et al. </w:t>
      </w:r>
      <w:r>
        <w:rPr>
          <w:rFonts w:cs="Arial" w:ascii="Arial" w:hAnsi="Arial"/>
          <w:color w:val="000000"/>
          <w:sz w:val="22"/>
          <w:szCs w:val="22"/>
          <w:lang w:val="en-US"/>
        </w:rPr>
        <w:t xml:space="preserve">Tolerance to quaternary ammonium compound disinfectants may enhance growth of Listeria monocytogenes in the food industry. </w:t>
      </w:r>
      <w:r>
        <w:rPr>
          <w:rFonts w:cs="Arial" w:ascii="Arial" w:hAnsi="Arial"/>
          <w:b/>
          <w:bCs/>
          <w:color w:val="000000"/>
          <w:sz w:val="22"/>
          <w:szCs w:val="22"/>
          <w:lang w:val="en-US"/>
        </w:rPr>
        <w:t>International Journal of Food Microbiology</w:t>
      </w:r>
      <w:r>
        <w:rPr>
          <w:rFonts w:cs="Arial" w:ascii="Arial" w:hAnsi="Arial"/>
          <w:color w:val="000000"/>
          <w:sz w:val="22"/>
          <w:szCs w:val="22"/>
          <w:lang w:val="en-US"/>
        </w:rPr>
        <w:t>, [s. l.], v. 241, p. 215–224, 2017. </w:t>
      </w:r>
    </w:p>
    <w:p>
      <w:pPr>
        <w:pStyle w:val="NormalWeb"/>
        <w:spacing w:beforeAutospacing="0" w:before="0" w:afterAutospacing="0" w:after="240"/>
        <w:jc w:val="both"/>
        <w:rPr>
          <w:rFonts w:ascii="Arial" w:hAnsi="Arial" w:cs="Arial"/>
          <w:color w:val="000000"/>
          <w:sz w:val="22"/>
          <w:szCs w:val="22"/>
          <w:lang w:val="en-US"/>
        </w:rPr>
      </w:pPr>
      <w:r>
        <w:rPr>
          <w:rFonts w:cs="Arial" w:ascii="Arial" w:hAnsi="Arial"/>
          <w:color w:val="000000"/>
          <w:sz w:val="22"/>
          <w:szCs w:val="22"/>
          <w:lang w:val="en-US"/>
        </w:rPr>
        <w:t xml:space="preserve">STEPANOVIĆ, S. et al. Biofilm formation by Salmonella spp. and Listeria monocytogenes on plastic surface. </w:t>
      </w:r>
      <w:r>
        <w:rPr>
          <w:rFonts w:cs="Arial" w:ascii="Arial" w:hAnsi="Arial"/>
          <w:b/>
          <w:bCs/>
          <w:color w:val="000000"/>
          <w:sz w:val="22"/>
          <w:szCs w:val="22"/>
          <w:lang w:val="en-US"/>
        </w:rPr>
        <w:t>Letters in Applied Microbiology</w:t>
      </w:r>
      <w:r>
        <w:rPr>
          <w:rFonts w:cs="Arial" w:ascii="Arial" w:hAnsi="Arial"/>
          <w:color w:val="000000"/>
          <w:sz w:val="22"/>
          <w:szCs w:val="22"/>
          <w:lang w:val="en-US"/>
        </w:rPr>
        <w:t>, [s. l.], v. 38, n. 5, p. 428–432, 2004.</w:t>
      </w:r>
    </w:p>
    <w:p>
      <w:pPr>
        <w:pStyle w:val="NormalWeb"/>
        <w:spacing w:beforeAutospacing="0" w:before="0" w:afterAutospacing="0" w:after="240"/>
        <w:jc w:val="both"/>
        <w:rPr>
          <w:rFonts w:ascii="Arial" w:hAnsi="Arial" w:cs="Arial"/>
          <w:color w:val="222222"/>
          <w:sz w:val="22"/>
          <w:szCs w:val="22"/>
          <w:shd w:fill="FFFFFF" w:val="clear"/>
          <w:lang w:val="en-US"/>
        </w:rPr>
      </w:pPr>
      <w:r>
        <w:rPr>
          <w:rFonts w:cs="Arial" w:ascii="Arial" w:hAnsi="Arial"/>
          <w:color w:val="222222"/>
          <w:sz w:val="22"/>
          <w:szCs w:val="22"/>
          <w:shd w:fill="FFFFFF" w:val="clear"/>
          <w:lang w:val="en-US"/>
        </w:rPr>
        <w:t xml:space="preserve">WALKER, S. et al., CLEANING MILKING SYSTEMS USING ELECTROLYZED OXIDIZING WATER. </w:t>
      </w:r>
      <w:r>
        <w:rPr>
          <w:rFonts w:cs="Arial" w:ascii="Arial" w:hAnsi="Arial"/>
          <w:b/>
          <w:bCs/>
          <w:color w:val="222222"/>
          <w:sz w:val="22"/>
          <w:szCs w:val="22"/>
          <w:shd w:fill="FFFFFF" w:val="clear"/>
          <w:lang w:val="en-US"/>
        </w:rPr>
        <w:t>Transactions Of The Asae</w:t>
      </w:r>
      <w:r>
        <w:rPr>
          <w:rFonts w:cs="Arial" w:ascii="Arial" w:hAnsi="Arial"/>
          <w:color w:val="222222"/>
          <w:sz w:val="22"/>
          <w:szCs w:val="22"/>
          <w:shd w:fill="FFFFFF" w:val="clear"/>
          <w:lang w:val="en-US"/>
        </w:rPr>
        <w:t>, [S.L.], v. 48, n. 5, p. 1827-1833, 2005. American Society of Agricultural and Biological Engineers (ASABE).</w:t>
      </w:r>
    </w:p>
    <w:p>
      <w:pPr>
        <w:pStyle w:val="NormalWeb"/>
        <w:spacing w:beforeAutospacing="0" w:before="0" w:afterAutospacing="0" w:after="240"/>
        <w:jc w:val="both"/>
        <w:rPr>
          <w:rFonts w:ascii="Arial" w:hAnsi="Arial" w:cs="Arial"/>
          <w:sz w:val="22"/>
          <w:szCs w:val="22"/>
          <w:lang w:val="en-US"/>
        </w:rPr>
      </w:pPr>
      <w:r>
        <w:rPr>
          <w:rFonts w:cs="Arial" w:ascii="Arial" w:hAnsi="Arial"/>
          <w:color w:val="222222"/>
          <w:sz w:val="22"/>
          <w:szCs w:val="22"/>
          <w:shd w:fill="FFFFFF" w:val="clear"/>
          <w:lang w:val="en-US"/>
        </w:rPr>
        <w:t>WANG,T et al. Magnesium and calcium ions: roles in bacterial cell attachment and biofilm structure maturation. </w:t>
      </w:r>
      <w:r>
        <w:rPr>
          <w:rStyle w:val="Strong"/>
          <w:rFonts w:cs="Arial" w:ascii="Arial" w:hAnsi="Arial"/>
          <w:color w:val="222222"/>
          <w:sz w:val="22"/>
          <w:szCs w:val="22"/>
          <w:shd w:fill="FFFFFF" w:val="clear"/>
          <w:lang w:val="en-US"/>
        </w:rPr>
        <w:t>Biofouling</w:t>
      </w:r>
      <w:r>
        <w:rPr>
          <w:rFonts w:cs="Arial" w:ascii="Arial" w:hAnsi="Arial"/>
          <w:color w:val="222222"/>
          <w:sz w:val="22"/>
          <w:szCs w:val="22"/>
          <w:shd w:fill="FFFFFF" w:val="clear"/>
          <w:lang w:val="en-US"/>
        </w:rPr>
        <w:t>, [S.L.], v. 35, n. 9, p. 959-974, 21 out. 2019. </w:t>
      </w:r>
    </w:p>
    <w:sectPr>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Liberation Sans">
    <w:altName w:val="Arial"/>
    <w:charset w:val="00"/>
    <w:family w:val="roman"/>
    <w:pitch w:val="variable"/>
  </w:font>
  <w:font w:name="Cambria">
    <w:charset w:val="00"/>
    <w:family w:val="roman"/>
    <w:pitch w:val="variable"/>
  </w:font>
  <w:font w:name="Helvetica Neue">
    <w:charset w:val="00"/>
    <w:family w:val="roman"/>
    <w:pitch w:val="variable"/>
  </w:font>
  <w:font w:name="Arial">
    <w:charset w:val="00"/>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false"/>
      <w:bidi w:val="0"/>
      <w:spacing w:before="0" w:after="0"/>
      <w:jc w:val="left"/>
    </w:pPr>
    <w:rPr>
      <w:rFonts w:ascii="Times New Roman" w:hAnsi="Times New Roman" w:eastAsia="Arial Unicode MS" w:cs="Times New Roman"/>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LinkdaInternet">
    <w:name w:val="Link da Internet"/>
    <w:rPr>
      <w:u w:val="single"/>
    </w:rPr>
  </w:style>
  <w:style w:type="character" w:styleId="CabealhoChar" w:customStyle="1">
    <w:name w:val="Cabeçalho Char"/>
    <w:basedOn w:val="DefaultParagraphFont"/>
    <w:uiPriority w:val="99"/>
    <w:qFormat/>
    <w:rsid w:val="004157b6"/>
    <w:rPr>
      <w:sz w:val="24"/>
      <w:szCs w:val="24"/>
      <w:lang w:val="en-US" w:eastAsia="en-US"/>
    </w:rPr>
  </w:style>
  <w:style w:type="character" w:styleId="RodapChar" w:customStyle="1">
    <w:name w:val="Rodapé Char"/>
    <w:basedOn w:val="DefaultParagraphFont"/>
    <w:uiPriority w:val="99"/>
    <w:qFormat/>
    <w:rsid w:val="004157b6"/>
    <w:rPr>
      <w:sz w:val="24"/>
      <w:szCs w:val="24"/>
      <w:lang w:val="en-US" w:eastAsia="en-US"/>
    </w:rPr>
  </w:style>
  <w:style w:type="character" w:styleId="Strong">
    <w:name w:val="Strong"/>
    <w:basedOn w:val="DefaultParagraphFont"/>
    <w:uiPriority w:val="22"/>
    <w:qFormat/>
    <w:rsid w:val="00222057"/>
    <w:rPr>
      <w:b/>
      <w:bCs/>
    </w:rPr>
  </w:style>
  <w:style w:type="character" w:styleId="TextodebaloChar" w:customStyle="1">
    <w:name w:val="Texto de balão Char"/>
    <w:basedOn w:val="DefaultParagraphFont"/>
    <w:link w:val="BalloonText"/>
    <w:uiPriority w:val="99"/>
    <w:semiHidden/>
    <w:qFormat/>
    <w:rsid w:val="00be1e92"/>
    <w:rPr>
      <w:rFonts w:ascii="Segoe UI" w:hAnsi="Segoe UI" w:cs="Segoe UI"/>
      <w:sz w:val="18"/>
      <w:szCs w:val="18"/>
      <w:lang w:eastAsia="en-US"/>
    </w:rPr>
  </w:style>
  <w:style w:type="character" w:styleId="Nfase">
    <w:name w:val="Ênfase"/>
    <w:basedOn w:val="DefaultParagraphFont"/>
    <w:uiPriority w:val="20"/>
    <w:qFormat/>
    <w:rsid w:val="00a87585"/>
    <w:rPr>
      <w:i/>
      <w:iC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Onormal" w:customStyle="1">
    <w:name w:val="LO-normal"/>
    <w:qFormat/>
    <w:pPr>
      <w:widowControl/>
      <w:suppressAutoHyphens w:val="true"/>
      <w:bidi w:val="0"/>
      <w:spacing w:before="0" w:after="0"/>
      <w:jc w:val="left"/>
    </w:pPr>
    <w:rPr>
      <w:rFonts w:ascii="Cambria" w:hAnsi="Cambria" w:eastAsia="Arial Unicode MS" w:cs="Arial Unicode MS"/>
      <w:color w:val="00000A"/>
      <w:kern w:val="0"/>
      <w:sz w:val="24"/>
      <w:szCs w:val="24"/>
      <w:u w:val="none" w:color="00000A"/>
      <w:lang w:val="en-US" w:eastAsia="pt-BR" w:bidi="ar-SA"/>
    </w:rPr>
  </w:style>
  <w:style w:type="paragraph" w:styleId="CabealhoeRodap" w:customStyle="1">
    <w:name w:val="Cabeçalho e Rodapé"/>
    <w:qFormat/>
    <w:pPr>
      <w:widowControl/>
      <w:tabs>
        <w:tab w:val="clear" w:pos="720"/>
        <w:tab w:val="right" w:pos="9020" w:leader="none"/>
      </w:tabs>
      <w:suppressAutoHyphens w:val="true"/>
      <w:bidi w:val="0"/>
      <w:spacing w:before="0" w:after="0"/>
      <w:jc w:val="left"/>
    </w:pPr>
    <w:rPr>
      <w:rFonts w:ascii="Helvetica Neue" w:hAnsi="Helvetica Neue" w:eastAsia="Arial Unicode MS" w:cs="Arial Unicode MS"/>
      <w:color w:val="000000"/>
      <w:kern w:val="0"/>
      <w:sz w:val="24"/>
      <w:szCs w:val="24"/>
      <w:lang w:val="pt-BR" w:eastAsia="pt-BR" w:bidi="ar-SA"/>
      <w14:textOutline w14:w="0" w14:cap="flat" w14:cmpd="sng" w14:algn="ctr">
        <w14:noFill/>
        <w14:prstDash w14:val="solid"/>
        <w14:bevel/>
      </w14:textOutline>
    </w:rPr>
  </w:style>
  <w:style w:type="paragraph" w:styleId="Cabealho">
    <w:name w:val="Header"/>
    <w:basedOn w:val="Normal"/>
    <w:link w:val="CabealhoChar"/>
    <w:uiPriority w:val="99"/>
    <w:unhideWhenUsed/>
    <w:rsid w:val="004157b6"/>
    <w:pPr>
      <w:tabs>
        <w:tab w:val="clear" w:pos="720"/>
        <w:tab w:val="center" w:pos="4252" w:leader="none"/>
        <w:tab w:val="right" w:pos="8504" w:leader="none"/>
      </w:tabs>
    </w:pPr>
    <w:rPr/>
  </w:style>
  <w:style w:type="paragraph" w:styleId="Rodap">
    <w:name w:val="Footer"/>
    <w:basedOn w:val="Normal"/>
    <w:link w:val="RodapChar"/>
    <w:uiPriority w:val="99"/>
    <w:unhideWhenUsed/>
    <w:rsid w:val="004157b6"/>
    <w:pPr>
      <w:tabs>
        <w:tab w:val="clear" w:pos="720"/>
        <w:tab w:val="center" w:pos="4252" w:leader="none"/>
        <w:tab w:val="right" w:pos="8504" w:leader="none"/>
      </w:tabs>
    </w:pPr>
    <w:rPr/>
  </w:style>
  <w:style w:type="paragraph" w:styleId="ListParagraph">
    <w:name w:val="List Paragraph"/>
    <w:basedOn w:val="Normal"/>
    <w:uiPriority w:val="34"/>
    <w:qFormat/>
    <w:rsid w:val="00b35d56"/>
    <w:pPr>
      <w:spacing w:before="0" w:after="0"/>
      <w:ind w:left="720" w:hanging="0"/>
      <w:contextualSpacing/>
    </w:pPr>
    <w:rPr/>
  </w:style>
  <w:style w:type="paragraph" w:styleId="NormalWeb">
    <w:name w:val="Normal (Web)"/>
    <w:basedOn w:val="Normal"/>
    <w:uiPriority w:val="99"/>
    <w:unhideWhenUsed/>
    <w:qFormat/>
    <w:rsid w:val="00ec2ab0"/>
    <w:pPr>
      <w:spacing w:beforeAutospacing="1" w:afterAutospacing="1"/>
    </w:pPr>
    <w:rPr>
      <w:rFonts w:eastAsia="Times New Roman"/>
      <w:lang w:eastAsia="pt-BR"/>
    </w:rPr>
  </w:style>
  <w:style w:type="paragraph" w:styleId="Revision">
    <w:name w:val="Revision"/>
    <w:uiPriority w:val="99"/>
    <w:semiHidden/>
    <w:qFormat/>
    <w:rsid w:val="00f51276"/>
    <w:pPr>
      <w:widowControl/>
      <w:suppressAutoHyphens w:val="true"/>
      <w:bidi w:val="0"/>
      <w:spacing w:before="0" w:after="0"/>
      <w:jc w:val="left"/>
    </w:pPr>
    <w:rPr>
      <w:rFonts w:ascii="Times New Roman" w:hAnsi="Times New Roman" w:eastAsia="Arial Unicode MS" w:cs="Times New Roman"/>
      <w:color w:val="auto"/>
      <w:kern w:val="0"/>
      <w:sz w:val="24"/>
      <w:szCs w:val="24"/>
      <w:lang w:val="pt-BR" w:eastAsia="en-US" w:bidi="ar-SA"/>
    </w:rPr>
  </w:style>
  <w:style w:type="paragraph" w:styleId="BalloonText">
    <w:name w:val="Balloon Text"/>
    <w:basedOn w:val="Normal"/>
    <w:link w:val="TextodebaloChar"/>
    <w:uiPriority w:val="99"/>
    <w:semiHidden/>
    <w:unhideWhenUsed/>
    <w:qFormat/>
    <w:rsid w:val="00be1e92"/>
    <w:pPr/>
    <w:rPr>
      <w:rFonts w:ascii="Segoe UI" w:hAnsi="Segoe UI" w:cs="Segoe UI"/>
      <w:sz w:val="18"/>
      <w:szCs w:val="18"/>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styleId="TabeladeLista6Colorida-nfase1">
    <w:name w:val="List Table 6 Colorful Accent 1"/>
    <w:basedOn w:val="Tabelanormal"/>
    <w:uiPriority w:val="51"/>
    <w:rsid w:val="00d84d4b"/>
    <w:rPr>
      <w:color w:val="365F91" w:themeColor="accent1" w:themeShade="bf"/>
    </w:rPr>
    <w:tblPr>
      <w:tblStyleRowBandSize w:val="1"/>
      <w:tblStyleColBandSize w:val="1"/>
      <w:tblBorders>
        <w:top w:val="single" w:color="4F81BD" w:themeColor="accent1" w:sz="4" w:space="0"/>
        <w:bottom w:val="single" w:color="4F81BD" w:themeColor="accent1" w:sz="4" w:space="0"/>
      </w:tblBorders>
    </w:tblPr>
    <w:tblStylePr w:type="firstRow">
      <w:rPr>
        <w:b/>
        <w:bCs/>
      </w:rPr>
      <w:tblPr/>
      <w:tcPr>
        <w:tcBorders>
          <w:bottom w:val="single" w:color="4F81BD" w:themeColor="accent1" w:sz="4" w:space="0"/>
        </w:tcBorders>
      </w:tcPr>
    </w:tblStylePr>
    <w:tblStylePr w:type="lastRow">
      <w:rPr>
        <w:b/>
        <w:bCs/>
      </w:rPr>
      <w:tblPr/>
      <w:tcPr>
        <w:tcBorders>
          <w:top w:val="double" w:color="4F81BD" w:themeColor="accent1" w:sz="4" w:space="0"/>
        </w:tcBorders>
      </w:tcPr>
    </w:tblStylePr>
    <w:tblStylePr w:type="firstCol">
      <w:rPr>
        <w:b/>
        <w:bCs/>
      </w:rPr>
      <w:tblPr/>
    </w:tblStylePr>
    <w:tblStylePr w:type="lastCol">
      <w:rPr>
        <w:b/>
        <w:bCs/>
      </w:rPr>
      <w:tbl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69F3535-52BE-4E50-B3D6-9EACE51A9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LibreOffice/7.3.2.2$Windows_X86_64 LibreOffice_project/49f2b1bff42cfccbd8f788c8dc32c1c309559be0</Application>
  <AppVersion>15.0000</AppVersion>
  <Pages>3</Pages>
  <Words>1334</Words>
  <Characters>7415</Characters>
  <CharactersWithSpaces>8748</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2023-10-03T17:37:00Z</dcterms:created>
  <dc:creator>Ana Karolina Panneitz</dc:creator>
  <dc:description/>
  <dc:language>pt-BR</dc:language>
  <cp:lastModifiedBy/>
  <dcterms:modified xsi:type="dcterms:W3CDTF">2023-10-04T09:17:54Z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