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tabs>
          <w:tab w:val="clear" w:pos="720"/>
          <w:tab w:val="left" w:pos="4026" w:leader="none"/>
          <w:tab w:val="center" w:pos="4392" w:leader="none"/>
        </w:tabs>
        <w:spacing w:lineRule="auto" w:line="276"/>
        <w:ind w:left="0" w:right="280" w:hanging="0"/>
        <w:jc w:val="center"/>
        <w:rPr>
          <w:rFonts w:ascii="Arial" w:hAnsi="Arial"/>
          <w:b/>
          <w:b/>
          <w:bCs/>
          <w:color w:val="000000"/>
          <w:sz w:val="28"/>
          <w:szCs w:val="28"/>
          <w:u w:val="none"/>
          <w:lang w:val="pt-BR"/>
        </w:rPr>
      </w:pPr>
      <w:r>
        <w:drawing>
          <wp:anchor behindDoc="0" distT="152400" distB="152400" distL="152400" distR="152400" simplePos="0" locked="0" layoutInCell="0" allowOverlap="1" relativeHeight="4">
            <wp:simplePos x="0" y="0"/>
            <wp:positionH relativeFrom="page">
              <wp:posOffset>-13970</wp:posOffset>
            </wp:positionH>
            <wp:positionV relativeFrom="page">
              <wp:posOffset>-13970</wp:posOffset>
            </wp:positionV>
            <wp:extent cx="7556500" cy="1115060"/>
            <wp:effectExtent l="0" t="0" r="0" b="0"/>
            <wp:wrapTopAndBottom/>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r>
        <w:rPr>
          <w:rFonts w:ascii="Arial" w:hAnsi="Arial"/>
          <w:b/>
          <w:bCs/>
          <w:color w:val="000000"/>
          <w:sz w:val="28"/>
          <w:szCs w:val="28"/>
          <w:u w:val="none"/>
          <w:lang w:val="pt-BR"/>
        </w:rPr>
        <w:t>HIPOCALCEMIA SUBCLÍNICA EM VACAS LEITEIRAS DA RAÇA JERSEY E SEU EFEITO NA PRODUÇÃO DE LEITE E CONTAGEM DE CÉLULAS SOMÁTICAS</w:t>
      </w:r>
    </w:p>
    <w:p>
      <w:pPr>
        <w:pStyle w:val="LOnormal"/>
        <w:ind w:left="0" w:right="284" w:hanging="0"/>
        <w:jc w:val="center"/>
        <w:rPr>
          <w:rFonts w:ascii="Arial" w:hAnsi="Arial" w:eastAsia="Arial" w:cs="Arial"/>
          <w:color w:val="000000"/>
          <w:sz w:val="22"/>
          <w:szCs w:val="22"/>
          <w:u w:val="none"/>
          <w:lang w:val="pt-BR"/>
        </w:rPr>
      </w:pPr>
      <w:r>
        <w:rPr>
          <w:rFonts w:eastAsia="Arial" w:cs="Arial" w:ascii="Arial" w:hAnsi="Arial"/>
          <w:color w:val="000000"/>
          <w:sz w:val="22"/>
          <w:szCs w:val="22"/>
          <w:u w:val="none"/>
          <w:lang w:val="pt-BR"/>
        </w:rPr>
      </w:r>
    </w:p>
    <w:p>
      <w:pPr>
        <w:pStyle w:val="Default"/>
        <w:jc w:val="center"/>
        <w:rPr/>
      </w:pPr>
      <w:r>
        <w:rPr>
          <w:sz w:val="20"/>
          <w:szCs w:val="20"/>
          <w:u w:val="single"/>
        </w:rPr>
        <w:t>Pietra Viertel Molinari</w:t>
      </w:r>
      <w:r>
        <w:rPr>
          <w:sz w:val="20"/>
          <w:szCs w:val="20"/>
          <w:u w:val="single"/>
          <w:vertAlign w:val="superscript"/>
        </w:rPr>
        <w:t>1</w:t>
      </w:r>
      <w:r>
        <w:rPr>
          <w:sz w:val="20"/>
          <w:szCs w:val="20"/>
          <w:u w:val="none"/>
        </w:rPr>
        <w:t>, Mariana Monteiro Boeng Pelegrini</w:t>
      </w:r>
      <w:r>
        <w:rPr>
          <w:sz w:val="20"/>
          <w:szCs w:val="20"/>
          <w:u w:val="none"/>
          <w:vertAlign w:val="superscript"/>
        </w:rPr>
        <w:t>2</w:t>
      </w:r>
      <w:r>
        <w:rPr>
          <w:sz w:val="20"/>
          <w:szCs w:val="20"/>
          <w:u w:val="none"/>
        </w:rPr>
        <w:t xml:space="preserve">, </w:t>
      </w:r>
      <w:r>
        <w:rPr>
          <w:sz w:val="20"/>
          <w:szCs w:val="20"/>
        </w:rPr>
        <w:t>Uriel Londero</w:t>
      </w:r>
      <w:r>
        <w:rPr>
          <w:sz w:val="20"/>
          <w:szCs w:val="20"/>
          <w:vertAlign w:val="superscript"/>
        </w:rPr>
        <w:t>3</w:t>
      </w:r>
      <w:r>
        <w:rPr>
          <w:sz w:val="20"/>
          <w:szCs w:val="20"/>
        </w:rPr>
        <w:t>, Marcio Nunes Corrêa</w:t>
      </w:r>
      <w:r>
        <w:rPr>
          <w:sz w:val="20"/>
          <w:szCs w:val="20"/>
          <w:vertAlign w:val="superscript"/>
        </w:rPr>
        <w:t>3</w:t>
      </w:r>
      <w:r>
        <w:rPr>
          <w:sz w:val="20"/>
          <w:szCs w:val="20"/>
        </w:rPr>
        <w:t>,</w:t>
      </w:r>
    </w:p>
    <w:p>
      <w:pPr>
        <w:pStyle w:val="LOnormal"/>
        <w:ind w:left="0" w:right="284" w:hanging="0"/>
        <w:jc w:val="center"/>
        <w:rPr/>
      </w:pPr>
      <w:r>
        <w:rPr>
          <w:rFonts w:cs="Arial" w:ascii="Arial" w:hAnsi="Arial"/>
          <w:sz w:val="20"/>
          <w:szCs w:val="20"/>
          <w:lang w:val="pt-BR"/>
        </w:rPr>
        <w:t>Juliano Santos Gueretz</w:t>
      </w:r>
      <w:r>
        <w:rPr>
          <w:rFonts w:cs="Arial" w:ascii="Arial" w:hAnsi="Arial"/>
          <w:sz w:val="20"/>
          <w:szCs w:val="20"/>
          <w:vertAlign w:val="superscript"/>
          <w:lang w:val="pt-BR"/>
        </w:rPr>
        <w:t>4</w:t>
      </w:r>
      <w:r>
        <w:rPr>
          <w:rFonts w:cs="Arial" w:ascii="Arial" w:hAnsi="Arial"/>
          <w:sz w:val="20"/>
          <w:szCs w:val="20"/>
          <w:lang w:val="pt-BR"/>
        </w:rPr>
        <w:t>, Fabiana Moreira</w:t>
      </w:r>
      <w:r>
        <w:rPr>
          <w:rFonts w:cs="Arial" w:ascii="Arial" w:hAnsi="Arial"/>
          <w:sz w:val="20"/>
          <w:szCs w:val="20"/>
          <w:vertAlign w:val="superscript"/>
          <w:lang w:val="pt-BR"/>
        </w:rPr>
        <w:t>4</w:t>
      </w:r>
      <w:r>
        <w:rPr>
          <w:rFonts w:cs="Arial" w:ascii="Arial" w:hAnsi="Arial"/>
          <w:sz w:val="20"/>
          <w:szCs w:val="20"/>
          <w:lang w:val="pt-BR"/>
        </w:rPr>
        <w:t>,</w:t>
      </w:r>
      <w:r>
        <w:rPr>
          <w:rFonts w:cs="Arial" w:ascii="Arial" w:hAnsi="Arial"/>
          <w:sz w:val="20"/>
          <w:szCs w:val="20"/>
          <w:vertAlign w:val="superscript"/>
          <w:lang w:val="pt-BR"/>
        </w:rPr>
        <w:t xml:space="preserve"> </w:t>
      </w:r>
      <w:r>
        <w:rPr>
          <w:rFonts w:cs="Arial" w:ascii="Arial" w:hAnsi="Arial"/>
          <w:color w:val="000000"/>
          <w:sz w:val="20"/>
          <w:szCs w:val="20"/>
          <w:u w:val="none"/>
          <w:lang w:val="pt-BR"/>
        </w:rPr>
        <w:t>Vanessa Peripolli</w:t>
      </w:r>
      <w:r>
        <w:rPr>
          <w:rFonts w:cs="Arial" w:ascii="Arial" w:hAnsi="Arial"/>
          <w:color w:val="000000"/>
          <w:sz w:val="20"/>
          <w:szCs w:val="20"/>
          <w:u w:val="none"/>
          <w:vertAlign w:val="superscript"/>
          <w:lang w:val="pt-BR"/>
        </w:rPr>
        <w:t>4</w:t>
      </w:r>
      <w:r>
        <w:rPr>
          <w:rFonts w:cs="Arial" w:ascii="Arial" w:hAnsi="Arial"/>
          <w:color w:val="000000"/>
          <w:sz w:val="20"/>
          <w:szCs w:val="20"/>
          <w:u w:val="none"/>
          <w:lang w:val="pt-BR"/>
        </w:rPr>
        <w:t>, Elizabeth Schwegler</w:t>
      </w:r>
      <w:r>
        <w:rPr>
          <w:rFonts w:cs="Arial" w:ascii="Arial" w:hAnsi="Arial"/>
          <w:color w:val="000000"/>
          <w:sz w:val="20"/>
          <w:szCs w:val="20"/>
          <w:u w:val="none"/>
          <w:vertAlign w:val="superscript"/>
          <w:lang w:val="pt-BR"/>
        </w:rPr>
        <w:t>4</w:t>
      </w:r>
      <w:r>
        <w:rPr>
          <w:rFonts w:cs="Arial" w:ascii="Arial" w:hAnsi="Arial"/>
          <w:color w:val="000000"/>
          <w:sz w:val="20"/>
          <w:szCs w:val="20"/>
          <w:u w:val="none"/>
          <w:lang w:val="pt-BR"/>
        </w:rPr>
        <w:t xml:space="preserve"> </w:t>
      </w:r>
    </w:p>
    <w:p>
      <w:pPr>
        <w:pStyle w:val="LOnormal"/>
        <w:ind w:left="0" w:right="284" w:hanging="0"/>
        <w:rPr>
          <w:rFonts w:ascii="Arial" w:hAnsi="Arial" w:eastAsia="Arial" w:cs="Arial"/>
          <w:color w:val="000000"/>
          <w:sz w:val="22"/>
          <w:szCs w:val="22"/>
          <w:u w:val="none"/>
          <w:lang w:val="pt-BR"/>
        </w:rPr>
      </w:pPr>
      <w:r>
        <w:rPr>
          <w:rFonts w:eastAsia="Arial" w:cs="Arial" w:ascii="Arial" w:hAnsi="Arial"/>
          <w:color w:val="000000"/>
          <w:sz w:val="22"/>
          <w:szCs w:val="22"/>
          <w:u w:val="none"/>
          <w:lang w:val="pt-BR"/>
        </w:rPr>
      </w:r>
    </w:p>
    <w:p>
      <w:pPr>
        <w:pStyle w:val="LOnormal"/>
        <w:ind w:left="0" w:right="284" w:hanging="0"/>
        <w:jc w:val="center"/>
        <w:rPr/>
      </w:pPr>
      <w:r>
        <w:rPr>
          <w:rFonts w:ascii="Arial" w:hAnsi="Arial"/>
          <w:color w:val="000000"/>
          <w:sz w:val="20"/>
          <w:szCs w:val="20"/>
          <w:u w:val="none"/>
          <w:vertAlign w:val="superscript"/>
          <w:lang w:val="pt-BR"/>
        </w:rPr>
        <w:t>1</w:t>
      </w:r>
      <w:r>
        <w:rPr>
          <w:rFonts w:ascii="Arial" w:hAnsi="Arial"/>
          <w:color w:val="000000"/>
          <w:sz w:val="20"/>
          <w:szCs w:val="20"/>
          <w:u w:val="none"/>
          <w:lang w:val="pt-BR"/>
        </w:rPr>
        <w:t xml:space="preserve"> Graduando em Medicina Veterinária – Instituto Federal Catarinense (IFC) – </w:t>
      </w:r>
      <w:r>
        <w:rPr>
          <w:rFonts w:ascii="Arial" w:hAnsi="Arial"/>
          <w:i/>
          <w:color w:val="000000"/>
          <w:sz w:val="20"/>
          <w:szCs w:val="20"/>
          <w:u w:val="none"/>
          <w:lang w:val="pt-BR"/>
        </w:rPr>
        <w:t>Campus</w:t>
      </w:r>
      <w:r>
        <w:rPr>
          <w:rFonts w:ascii="Arial" w:hAnsi="Arial"/>
          <w:color w:val="000000"/>
          <w:sz w:val="20"/>
          <w:szCs w:val="20"/>
          <w:u w:val="none"/>
          <w:lang w:val="pt-BR"/>
        </w:rPr>
        <w:t xml:space="preserve"> Araquari. </w:t>
      </w:r>
    </w:p>
    <w:p>
      <w:pPr>
        <w:pStyle w:val="LOnormal"/>
        <w:ind w:left="0" w:right="284" w:hanging="0"/>
        <w:jc w:val="center"/>
        <w:rPr/>
      </w:pPr>
      <w:r>
        <w:rPr>
          <w:rFonts w:ascii="Arial" w:hAnsi="Arial"/>
          <w:color w:val="000000"/>
          <w:sz w:val="20"/>
          <w:szCs w:val="20"/>
          <w:u w:val="none"/>
          <w:vertAlign w:val="superscript"/>
          <w:lang w:val="pt-BR"/>
        </w:rPr>
        <w:t>2</w:t>
      </w:r>
      <w:r>
        <w:rPr>
          <w:rFonts w:ascii="Arial" w:hAnsi="Arial"/>
          <w:color w:val="000000"/>
          <w:sz w:val="20"/>
          <w:szCs w:val="20"/>
          <w:u w:val="none"/>
          <w:lang w:val="pt-BR"/>
        </w:rPr>
        <w:t xml:space="preserve"> Mestrado Profissional em Produção e Sanidade Animal – IFC – </w:t>
      </w:r>
      <w:r>
        <w:rPr>
          <w:rFonts w:ascii="Arial" w:hAnsi="Arial"/>
          <w:i/>
          <w:color w:val="000000"/>
          <w:sz w:val="20"/>
          <w:szCs w:val="20"/>
          <w:u w:val="none"/>
          <w:lang w:val="pt-BR"/>
        </w:rPr>
        <w:t>Campus</w:t>
      </w:r>
      <w:r>
        <w:rPr>
          <w:rFonts w:ascii="Arial" w:hAnsi="Arial"/>
          <w:color w:val="000000"/>
          <w:sz w:val="20"/>
          <w:szCs w:val="20"/>
          <w:u w:val="none"/>
          <w:lang w:val="pt-BR"/>
        </w:rPr>
        <w:t xml:space="preserve"> Araquari,</w:t>
      </w:r>
    </w:p>
    <w:p>
      <w:pPr>
        <w:pStyle w:val="LOnormal"/>
        <w:ind w:left="0" w:right="284" w:hanging="0"/>
        <w:jc w:val="center"/>
        <w:rPr/>
      </w:pPr>
      <w:r>
        <w:rPr>
          <w:rFonts w:ascii="Arial" w:hAnsi="Arial"/>
          <w:color w:val="000000"/>
          <w:sz w:val="20"/>
          <w:szCs w:val="20"/>
          <w:u w:val="none"/>
          <w:vertAlign w:val="superscript"/>
          <w:lang w:val="pt-BR"/>
        </w:rPr>
        <w:t>3</w:t>
      </w:r>
      <w:r>
        <w:rPr>
          <w:rFonts w:ascii="Arial" w:hAnsi="Arial"/>
          <w:color w:val="000000"/>
          <w:sz w:val="20"/>
          <w:szCs w:val="20"/>
          <w:u w:val="none"/>
          <w:lang w:val="pt-BR"/>
        </w:rPr>
        <w:t xml:space="preserve"> Núcleo de Ensino, Pesquisa e Extensão em Pecuária (Nupeec - UFPEL)</w:t>
      </w:r>
    </w:p>
    <w:p>
      <w:pPr>
        <w:pStyle w:val="LOnormal"/>
        <w:ind w:left="0" w:right="284" w:hanging="0"/>
        <w:jc w:val="center"/>
        <w:rPr/>
      </w:pPr>
      <w:r>
        <w:rPr>
          <w:rFonts w:ascii="Arial" w:hAnsi="Arial"/>
          <w:color w:val="000000"/>
          <w:sz w:val="20"/>
          <w:szCs w:val="20"/>
          <w:u w:val="none"/>
          <w:vertAlign w:val="superscript"/>
          <w:lang w:val="pt-BR"/>
        </w:rPr>
        <w:t>4</w:t>
      </w:r>
      <w:r>
        <w:rPr>
          <w:rFonts w:ascii="Arial" w:hAnsi="Arial"/>
          <w:color w:val="000000"/>
          <w:sz w:val="20"/>
          <w:szCs w:val="20"/>
          <w:u w:val="none"/>
          <w:lang w:val="pt-BR"/>
        </w:rPr>
        <w:t xml:space="preserve"> Núcleo de Ensino e Pesquisa em Produção Animal (NEPPA – IFC)</w:t>
      </w:r>
    </w:p>
    <w:p>
      <w:pPr>
        <w:pStyle w:val="LOnormal"/>
        <w:ind w:left="0" w:right="284" w:hanging="0"/>
        <w:jc w:val="center"/>
        <w:rPr>
          <w:rFonts w:ascii="Arial" w:hAnsi="Arial"/>
          <w:color w:val="000000"/>
          <w:sz w:val="20"/>
          <w:szCs w:val="20"/>
          <w:u w:val="none"/>
          <w:lang w:val="pt-BR"/>
        </w:rPr>
      </w:pPr>
      <w:r>
        <w:rPr>
          <w:rFonts w:ascii="Arial" w:hAnsi="Arial"/>
          <w:color w:val="000000"/>
          <w:sz w:val="20"/>
          <w:szCs w:val="20"/>
          <w:u w:val="none"/>
          <w:lang w:val="pt-BR"/>
        </w:rPr>
        <w:t xml:space="preserve">E-mail: pietravmolinari@gmail.com </w:t>
      </w:r>
    </w:p>
    <w:p>
      <w:pPr>
        <w:pStyle w:val="LOnormal"/>
        <w:ind w:left="0" w:right="284" w:hanging="0"/>
        <w:rPr>
          <w:rFonts w:ascii="Arial" w:hAnsi="Arial" w:eastAsia="Arial" w:cs="Arial"/>
          <w:color w:val="000000"/>
          <w:sz w:val="22"/>
          <w:szCs w:val="22"/>
          <w:u w:val="none"/>
          <w:lang w:val="pt-BR"/>
        </w:rPr>
      </w:pPr>
      <w:r>
        <w:rPr>
          <w:rFonts w:eastAsia="Arial" w:cs="Arial" w:ascii="Arial" w:hAnsi="Arial"/>
          <w:color w:val="000000"/>
          <w:sz w:val="22"/>
          <w:szCs w:val="22"/>
          <w:u w:val="none"/>
          <w:lang w:val="pt-BR"/>
        </w:rPr>
      </w:r>
    </w:p>
    <w:p>
      <w:pPr>
        <w:pStyle w:val="LOnormal"/>
        <w:jc w:val="both"/>
        <w:rPr/>
      </w:pPr>
      <w:r>
        <w:rPr>
          <w:rFonts w:ascii="Arial" w:hAnsi="Arial"/>
          <w:b/>
          <w:bCs/>
          <w:color w:val="000000"/>
          <w:sz w:val="22"/>
          <w:szCs w:val="22"/>
          <w:u w:val="none"/>
          <w:lang w:val="pt-BR"/>
        </w:rPr>
        <w:t>Contribuição para a sociedade</w:t>
      </w:r>
      <w:r>
        <w:rPr>
          <w:rFonts w:ascii="Arial" w:hAnsi="Arial"/>
          <w:color w:val="000000"/>
          <w:sz w:val="22"/>
          <w:szCs w:val="22"/>
          <w:u w:val="none"/>
          <w:lang w:val="pt-BR"/>
        </w:rPr>
        <w:t xml:space="preserve">: A maior parte dos dados disponíveis na literatura sobre hipocalcemia subclínica são sobre vacas leiteiras da raça Holandês. Sabe-se que existem diferenças entre as raças de bovinos com aptidão para a produção de leite, e a </w:t>
      </w:r>
      <w:r>
        <w:rPr>
          <w:rFonts w:cs="Calibri" w:ascii="Calibri" w:hAnsi="Calibri"/>
          <w:color w:val="000000"/>
          <w:lang w:val="pt-BR"/>
        </w:rPr>
        <w:t xml:space="preserve">raça Jersey têm se destacado por seu alto potencial produtivo. </w:t>
      </w:r>
      <w:r>
        <w:rPr>
          <w:rFonts w:ascii="Arial" w:hAnsi="Arial"/>
          <w:color w:val="000000"/>
          <w:sz w:val="22"/>
          <w:szCs w:val="22"/>
          <w:u w:val="none"/>
          <w:lang w:val="pt-BR"/>
        </w:rPr>
        <w:t xml:space="preserve">Portanto, o </w:t>
      </w:r>
      <w:r>
        <w:rPr>
          <w:rFonts w:cs="Arial" w:ascii="Arial" w:hAnsi="Arial"/>
          <w:bCs/>
          <w:color w:val="000000"/>
          <w:sz w:val="22"/>
          <w:szCs w:val="22"/>
          <w:u w:val="none"/>
          <w:lang w:val="pt-BR"/>
        </w:rPr>
        <w:t>objetivo do trabalho foi determinar a influência da hipocalcemia subclínica em vacas leiteiras da raça Jersey na produção de leite e na contagem de células somáticas (CCS)</w:t>
      </w:r>
      <w:r>
        <w:rPr>
          <w:rFonts w:ascii="Arial" w:hAnsi="Arial"/>
          <w:color w:val="000000"/>
          <w:sz w:val="22"/>
          <w:szCs w:val="22"/>
          <w:u w:val="none"/>
          <w:lang w:val="pt-BR"/>
        </w:rPr>
        <w:t>. Os estudos sobre a raça Jersey ainda são escassos, destacando a importância dos nossos dados.</w:t>
      </w:r>
    </w:p>
    <w:p>
      <w:pPr>
        <w:pStyle w:val="LOnormal"/>
        <w:jc w:val="both"/>
        <w:rPr>
          <w:rFonts w:ascii="Arial" w:hAnsi="Arial" w:eastAsia="Arial" w:cs="Arial"/>
          <w:color w:val="000000"/>
          <w:sz w:val="22"/>
          <w:szCs w:val="22"/>
          <w:u w:val="none"/>
          <w:lang w:val="pt-BR"/>
        </w:rPr>
      </w:pPr>
      <w:r>
        <w:rPr>
          <w:rFonts w:eastAsia="Arial" w:cs="Arial" w:ascii="Arial" w:hAnsi="Arial"/>
          <w:color w:val="000000"/>
          <w:sz w:val="22"/>
          <w:szCs w:val="22"/>
          <w:u w:val="none"/>
          <w:lang w:val="pt-BR"/>
        </w:rPr>
      </w:r>
    </w:p>
    <w:p>
      <w:pPr>
        <w:pStyle w:val="LOnormal"/>
        <w:jc w:val="both"/>
        <w:rPr/>
      </w:pPr>
      <w:r>
        <w:rPr>
          <w:rFonts w:ascii="Arial" w:hAnsi="Arial"/>
          <w:b/>
          <w:bCs/>
          <w:color w:val="000000"/>
          <w:sz w:val="22"/>
          <w:szCs w:val="22"/>
          <w:u w:val="none"/>
          <w:lang w:val="pt-BR"/>
        </w:rPr>
        <w:t>Palavras-chave</w:t>
      </w:r>
      <w:r>
        <w:rPr>
          <w:rFonts w:ascii="Arial" w:hAnsi="Arial"/>
          <w:color w:val="000000"/>
          <w:sz w:val="22"/>
          <w:szCs w:val="22"/>
          <w:u w:val="none"/>
          <w:lang w:val="pt-BR"/>
        </w:rPr>
        <w:t>: Cálcio, metabolismo, periparto.</w:t>
      </w:r>
    </w:p>
    <w:p>
      <w:pPr>
        <w:pStyle w:val="LOnormal"/>
        <w:jc w:val="both"/>
        <w:rPr>
          <w:rFonts w:ascii="Arial" w:hAnsi="Arial" w:eastAsia="Arial" w:cs="Arial"/>
          <w:color w:val="000000"/>
          <w:sz w:val="22"/>
          <w:szCs w:val="22"/>
          <w:u w:val="none"/>
          <w:lang w:val="pt-BR"/>
        </w:rPr>
      </w:pPr>
      <w:r>
        <w:rPr>
          <w:rFonts w:eastAsia="Arial" w:cs="Arial" w:ascii="Arial" w:hAnsi="Arial"/>
          <w:color w:val="000000"/>
          <w:sz w:val="22"/>
          <w:szCs w:val="22"/>
          <w:u w:val="none"/>
          <w:lang w:val="pt-BR"/>
        </w:rPr>
      </w:r>
    </w:p>
    <w:p>
      <w:pPr>
        <w:pStyle w:val="Normal"/>
        <w:spacing w:before="30" w:after="0"/>
        <w:jc w:val="both"/>
        <w:rPr/>
      </w:pPr>
      <w:r>
        <w:rPr>
          <w:rFonts w:ascii="Arial" w:hAnsi="Arial"/>
          <w:b/>
          <w:bCs/>
          <w:color w:val="000000"/>
          <w:sz w:val="22"/>
          <w:szCs w:val="22"/>
          <w:u w:val="none"/>
          <w:lang w:val="pt-BR"/>
        </w:rPr>
        <w:t xml:space="preserve">Introdução: </w:t>
      </w:r>
      <w:r>
        <w:rPr>
          <w:rFonts w:cs="Arial" w:ascii="Arial" w:hAnsi="Arial"/>
          <w:bCs/>
          <w:color w:val="000000"/>
          <w:sz w:val="22"/>
          <w:szCs w:val="22"/>
          <w:u w:val="none"/>
          <w:lang w:val="pt-BR"/>
        </w:rPr>
        <w:t xml:space="preserve">A hipocalcemia subclínica é um dos principais distúrbios que afetam os rebanhos leiteiros, principalmente durante o periparto, período que ocorre o aumento abrupto da demanda de cálcio (Ca) e a homeostase da concentração sanguínea de Ca fica comprometida </w:t>
      </w:r>
      <w:r>
        <w:rPr>
          <w:rFonts w:cs="Arial" w:ascii="Arial" w:hAnsi="Arial"/>
          <w:sz w:val="22"/>
          <w:szCs w:val="22"/>
          <w:lang w:val="pt-BR"/>
        </w:rPr>
        <w:t>(MOORE &amp; DEVRIES, 2020). O metabolismo do Ca na raça Jersey apresenta redução na quantidade de receptores para a vitamina D (</w:t>
      </w:r>
      <w:r>
        <w:rPr>
          <w:rFonts w:cs="Arial" w:ascii="Arial" w:hAnsi="Arial"/>
          <w:sz w:val="22"/>
          <w:szCs w:val="22"/>
          <w:shd w:fill="FFFFFF" w:val="clear"/>
          <w:lang w:val="pt-BR"/>
        </w:rPr>
        <w:t xml:space="preserve">1,25-Dihidroxi-colocalciferol) no epitélio intestinal (GOFF, 2000), tornando a raça mais suscetível a quadros de hipocalcemia clínica </w:t>
      </w:r>
      <w:r>
        <w:rPr>
          <w:rFonts w:cs="Arial" w:ascii="Arial" w:hAnsi="Arial"/>
          <w:sz w:val="22"/>
          <w:szCs w:val="22"/>
          <w:lang w:val="pt-BR"/>
        </w:rPr>
        <w:t>(SABORIO-MONTERO et al., 2017). Apesar das pesquisas realizadas, a maior parte dos estudos são sobre o gado Holandês (VALLDECABRES et al., 2019) e as associações entre a hipocalcemia subclínica com os resultados produtivos (</w:t>
      </w:r>
      <w:r>
        <w:rPr>
          <w:rFonts w:cs="Arial" w:ascii="Arial" w:hAnsi="Arial"/>
          <w:sz w:val="22"/>
          <w:szCs w:val="22"/>
          <w:lang w:val="pt-BR" w:eastAsia="pt-BR"/>
        </w:rPr>
        <w:t xml:space="preserve">VALLDECABRES &amp; SILVA-DEL-RIO, 2021) </w:t>
      </w:r>
      <w:r>
        <w:rPr>
          <w:rFonts w:cs="Arial" w:ascii="Arial" w:hAnsi="Arial"/>
          <w:sz w:val="22"/>
          <w:szCs w:val="22"/>
          <w:lang w:val="pt-BR"/>
        </w:rPr>
        <w:t>e os componentes do leite não são bem estabelecidos (</w:t>
      </w:r>
      <w:r>
        <w:rPr>
          <w:rStyle w:val="Y2iqfc"/>
          <w:rFonts w:cs="Arial" w:ascii="Arial" w:hAnsi="Arial"/>
          <w:sz w:val="22"/>
          <w:szCs w:val="22"/>
          <w:lang w:val="pt-PT"/>
        </w:rPr>
        <w:t>WILHELM et al., 2017)</w:t>
      </w:r>
      <w:r>
        <w:rPr>
          <w:rFonts w:cs="Arial" w:ascii="Arial" w:hAnsi="Arial"/>
          <w:sz w:val="22"/>
          <w:szCs w:val="22"/>
          <w:lang w:val="pt-BR"/>
        </w:rPr>
        <w:t xml:space="preserve">. </w:t>
      </w:r>
      <w:r>
        <w:rPr>
          <w:rFonts w:cs="Arial" w:ascii="Arial" w:hAnsi="Arial"/>
          <w:bCs/>
          <w:color w:val="000000"/>
          <w:sz w:val="22"/>
          <w:szCs w:val="22"/>
          <w:u w:val="none"/>
          <w:lang w:val="pt-BR"/>
        </w:rPr>
        <w:t>Nesse contexto, o objetivo do trabalho foi determinar a influência da hipocalcemia subclínica em vacas leiteiras da raça Jersey na produção de leite e na CCS.</w:t>
      </w:r>
    </w:p>
    <w:p>
      <w:pPr>
        <w:pStyle w:val="LOnormal"/>
        <w:jc w:val="both"/>
        <w:rPr>
          <w:rFonts w:ascii="Arial" w:hAnsi="Arial" w:eastAsia="Arial" w:cs="Arial"/>
          <w:color w:val="000000"/>
          <w:sz w:val="22"/>
          <w:szCs w:val="22"/>
          <w:u w:val="none"/>
          <w:lang w:val="pt-BR"/>
        </w:rPr>
      </w:pPr>
      <w:r>
        <w:rPr>
          <w:rFonts w:eastAsia="Arial" w:cs="Arial" w:ascii="Arial" w:hAnsi="Arial"/>
          <w:color w:val="000000"/>
          <w:sz w:val="22"/>
          <w:szCs w:val="22"/>
          <w:u w:val="none"/>
          <w:lang w:val="pt-BR"/>
        </w:rPr>
      </w:r>
    </w:p>
    <w:p>
      <w:pPr>
        <w:pStyle w:val="Normal"/>
        <w:spacing w:before="30" w:after="0"/>
        <w:jc w:val="both"/>
        <w:rPr/>
      </w:pPr>
      <w:bookmarkStart w:id="0" w:name="_headingh.30j0zll"/>
      <w:bookmarkEnd w:id="0"/>
      <w:r>
        <w:rPr>
          <w:rFonts w:ascii="Arial" w:hAnsi="Arial"/>
          <w:b/>
          <w:bCs/>
          <w:color w:val="000000"/>
          <w:sz w:val="22"/>
          <w:szCs w:val="22"/>
          <w:u w:val="none"/>
          <w:lang w:val="pt-BR"/>
        </w:rPr>
        <w:t>Material e métodos:</w:t>
      </w:r>
      <w:r>
        <w:rPr>
          <w:rFonts w:ascii="Arial" w:hAnsi="Arial"/>
          <w:color w:val="000000"/>
          <w:sz w:val="22"/>
          <w:szCs w:val="22"/>
          <w:u w:val="none"/>
          <w:lang w:val="pt-BR"/>
        </w:rPr>
        <w:t xml:space="preserve"> A coleta de dados foi realizada em uma fazenda comercial localizada no município de Braço do Norte/SC, durante o período de julho de 2022 à fevereiro de 2023. Foram utilizadas 35 vacas leiteiras da raça Jersey (26 multíparas e 9 primíparas), as quais foram categorizadas em dois grupos, o hipocalcêmico (GHC: ≤ 8,84 mg/dL ou 2,18 mmol/L) ou normocalcêmico (GNC: ≥ 8,84 mg/dL ou 2,18 mmol/L) </w:t>
      </w:r>
      <w:r>
        <w:rPr>
          <w:rFonts w:cs="Arial" w:ascii="Arial" w:hAnsi="Arial"/>
          <w:sz w:val="22"/>
          <w:szCs w:val="22"/>
          <w:lang w:val="pt-BR"/>
        </w:rPr>
        <w:t>(</w:t>
      </w:r>
      <w:r>
        <w:rPr>
          <w:rFonts w:cs="Arial" w:ascii="Arial" w:hAnsi="Arial"/>
          <w:sz w:val="22"/>
          <w:szCs w:val="22"/>
          <w:lang w:val="pt-BR" w:eastAsia="pt-BR"/>
        </w:rPr>
        <w:t xml:space="preserve">VALLDECABRES &amp; SILVA-DEL-RIO, 2021) </w:t>
      </w:r>
      <w:r>
        <w:rPr>
          <w:rFonts w:ascii="Arial" w:hAnsi="Arial"/>
          <w:color w:val="000000"/>
          <w:sz w:val="22"/>
          <w:szCs w:val="22"/>
          <w:u w:val="none"/>
          <w:lang w:val="pt-BR"/>
        </w:rPr>
        <w:t xml:space="preserve">a partir da calcemia 24 horas após o parto. As vacas eram ordenhadas duas vezes ao dia, em um sistema de ordenha automática (6:00h e 18:00h).  A colheita de sangue foi realizada 24 horas após o parto, por punção do complexo arteriovenoso coccígeo, e armazenadas em tubos de coleta de sangue comerciais tipo </w:t>
      </w:r>
      <w:r>
        <w:rPr>
          <w:rFonts w:ascii="Arial" w:hAnsi="Arial"/>
          <w:i/>
          <w:color w:val="000000"/>
          <w:sz w:val="22"/>
          <w:szCs w:val="22"/>
          <w:u w:val="none"/>
          <w:lang w:val="pt-BR"/>
        </w:rPr>
        <w:t>Vacuntainer</w:t>
      </w:r>
      <w:r>
        <w:rPr>
          <w:rFonts w:ascii="Arial" w:hAnsi="Arial"/>
          <w:color w:val="000000"/>
          <w:sz w:val="22"/>
          <w:szCs w:val="22"/>
          <w:u w:val="none"/>
          <w:lang w:val="pt-BR"/>
        </w:rPr>
        <w:t xml:space="preserve">® (10ml). Os tubos foram centrifugados a 1800 G por 30 minutos para obtenção do soro, e armazenados a - 20°C em tubos tipo </w:t>
      </w:r>
      <w:r>
        <w:rPr>
          <w:rFonts w:ascii="Arial" w:hAnsi="Arial"/>
          <w:i/>
          <w:color w:val="000000"/>
          <w:sz w:val="22"/>
          <w:szCs w:val="22"/>
          <w:u w:val="none"/>
          <w:lang w:val="pt-BR"/>
        </w:rPr>
        <w:t>eppendorf</w:t>
      </w:r>
      <w:r>
        <w:rPr>
          <w:rFonts w:ascii="Arial" w:hAnsi="Arial"/>
          <w:color w:val="000000"/>
          <w:sz w:val="22"/>
          <w:szCs w:val="22"/>
          <w:u w:val="none"/>
          <w:lang w:val="pt-BR"/>
        </w:rPr>
        <w:t>® para posterior análise da concentração de Ca. As amostras sorológicas foram enviadas para o laboratório do Núcleo de Pesquisa, Ensino e Extensão (Nupeec da Universidade Federal de Pelotas) para avaliação colorimétrica das concentrações de Ca, através do kit commercial (Labtest Diagnostica, Lagoa Santa, SP, Brasil), por meio do analisador bioquímico automático (Labmax Plenno®). A produção de leite individual (kg) dos animais foi mensurada pelo uso do copo coletor acoplado ao sistema de ordenha (Milk Meder). O leite era homogeneizado e, posteriormente, coletada a amostra em frasco estéril que possuía conservante bronopol para a análise de CCS. A análise de CCS foi realizada por citometria de fluxo (</w:t>
      </w:r>
      <w:r>
        <w:rPr>
          <w:rFonts w:cs="Arial" w:ascii="Arial" w:hAnsi="Arial"/>
          <w:color w:val="000000"/>
          <w:sz w:val="22"/>
          <w:szCs w:val="22"/>
          <w:u w:val="none"/>
          <w:lang w:val="pt-BR"/>
        </w:rPr>
        <w:t xml:space="preserve">Somacount 300, Bentley Instruments Inc.).  A produção de leite e a coleta de amostras foram coletadas semanalmente e ajustadas para os dias 7, 14, 21, 28, 35, 42, 49 e 56 após o parto. </w:t>
      </w:r>
      <w:r>
        <w:rPr>
          <w:rFonts w:cs="Arial" w:ascii="Arial" w:hAnsi="Arial"/>
          <w:color w:val="000000"/>
          <w:sz w:val="22"/>
          <w:szCs w:val="22"/>
          <w:lang w:val="pt-BR"/>
        </w:rPr>
        <w:t xml:space="preserve">Os dados produção de leite e CCS foram testados quanto à normalidade da distribuição e homogeneidade dos resíduos através dos testes de Shapiro-Wilk e de Levene, respectivamente. </w:t>
      </w:r>
      <w:r>
        <w:rPr>
          <w:rFonts w:cs="Arial" w:ascii="Arial" w:hAnsi="Arial"/>
          <w:sz w:val="22"/>
          <w:szCs w:val="22"/>
          <w:lang w:val="pt-BR"/>
        </w:rPr>
        <w:t xml:space="preserve">Os dados foram analisados por análise de variância utilizando o programa SAS® </w:t>
      </w:r>
      <w:r>
        <w:rPr>
          <w:rFonts w:cs="Arial" w:ascii="Arial" w:hAnsi="Arial"/>
          <w:color w:val="000000"/>
          <w:sz w:val="22"/>
          <w:szCs w:val="22"/>
          <w:lang w:val="pt-BR"/>
        </w:rPr>
        <w:t>(Analysis System Institute, Cary, NC, USA, versão 9,3)</w:t>
      </w:r>
      <w:r>
        <w:rPr>
          <w:rFonts w:cs="Arial" w:ascii="Arial" w:hAnsi="Arial"/>
          <w:sz w:val="22"/>
          <w:szCs w:val="22"/>
          <w:lang w:val="pt-BR"/>
        </w:rPr>
        <w:t>. Para o marcador CCS, foram normalizados os dados pela fórmula CCS[log2 (SCC/100) + 3] (</w:t>
      </w:r>
      <w:r>
        <w:rPr>
          <w:rFonts w:cs="Arial" w:ascii="Arial" w:hAnsi="Arial"/>
          <w:sz w:val="22"/>
          <w:szCs w:val="22"/>
          <w:lang w:val="pt-BR" w:eastAsia="pt-BR"/>
        </w:rPr>
        <w:t>VALLDECABRES &amp; SILVA-DEL-RIO, 2021).</w:t>
      </w:r>
    </w:p>
    <w:p>
      <w:pPr>
        <w:pStyle w:val="LOnormal"/>
        <w:jc w:val="both"/>
        <w:rPr>
          <w:lang w:val="pt-BR"/>
        </w:rPr>
      </w:pPr>
      <w:r>
        <w:rPr>
          <w:lang w:val="pt-BR"/>
        </w:rPr>
        <w:drawing>
          <wp:anchor behindDoc="0" distT="152400" distB="152400" distL="152400" distR="152400" simplePos="0" locked="0" layoutInCell="0" allowOverlap="1" relativeHeight="3">
            <wp:simplePos x="0" y="0"/>
            <wp:positionH relativeFrom="page">
              <wp:posOffset>0</wp:posOffset>
            </wp:positionH>
            <wp:positionV relativeFrom="page">
              <wp:posOffset>0</wp:posOffset>
            </wp:positionV>
            <wp:extent cx="7556500" cy="1014730"/>
            <wp:effectExtent l="0" t="0" r="0" b="0"/>
            <wp:wrapTopAndBottom/>
            <wp:docPr id="2" name="Figura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Cabeçalho SBSS-02.jpg"/>
                    <pic:cNvPicPr>
                      <a:picLocks noChangeAspect="1" noChangeArrowheads="1"/>
                    </pic:cNvPicPr>
                  </pic:nvPicPr>
                  <pic:blipFill>
                    <a:blip r:embed="rId3"/>
                    <a:stretch>
                      <a:fillRect/>
                    </a:stretch>
                  </pic:blipFill>
                  <pic:spPr bwMode="auto">
                    <a:xfrm>
                      <a:off x="0" y="0"/>
                      <a:ext cx="7556500" cy="1014730"/>
                    </a:xfrm>
                    <a:prstGeom prst="rect">
                      <a:avLst/>
                    </a:prstGeom>
                  </pic:spPr>
                </pic:pic>
              </a:graphicData>
            </a:graphic>
          </wp:anchor>
        </w:drawing>
      </w:r>
    </w:p>
    <w:p>
      <w:pPr>
        <w:pStyle w:val="LOnormal"/>
        <w:jc w:val="both"/>
        <w:rPr/>
      </w:pPr>
      <w:r>
        <w:rPr>
          <w:rFonts w:ascii="Arial" w:hAnsi="Arial"/>
          <w:b/>
          <w:bCs/>
          <w:color w:val="000000"/>
          <w:sz w:val="22"/>
          <w:szCs w:val="22"/>
          <w:u w:val="none"/>
          <w:lang w:val="pt-BR"/>
        </w:rPr>
        <w:t>Resultados e discussões:</w:t>
      </w:r>
      <w:r>
        <w:rPr>
          <w:rFonts w:ascii="Arial" w:hAnsi="Arial"/>
          <w:color w:val="000000"/>
          <w:sz w:val="22"/>
          <w:szCs w:val="22"/>
          <w:u w:val="none"/>
          <w:lang w:val="pt-BR"/>
        </w:rPr>
        <w:t xml:space="preserve"> A hipocalcemia subclínica ocorreu em 15 vacas leiteiras (GHC= 3 primíparas e 12 multíparas) e 20 foram consideradas normocalcêmicas (GNC= 6 primíparas e 14 multíparas). As vacas leiteiras da raça Jersey do GHC, apresentaram maior produção de leite ao dia até os 56 dias após o parto (GHC 27,06 ±1,13 kg </w:t>
      </w:r>
      <w:r>
        <w:rPr>
          <w:rFonts w:ascii="Arial" w:hAnsi="Arial"/>
          <w:i/>
          <w:color w:val="000000"/>
          <w:sz w:val="22"/>
          <w:szCs w:val="22"/>
          <w:u w:val="none"/>
          <w:lang w:val="pt-BR"/>
        </w:rPr>
        <w:t>vs</w:t>
      </w:r>
      <w:r>
        <w:rPr>
          <w:rFonts w:ascii="Arial" w:hAnsi="Arial"/>
          <w:color w:val="000000"/>
          <w:sz w:val="22"/>
          <w:szCs w:val="22"/>
          <w:u w:val="none"/>
          <w:lang w:val="pt-BR"/>
        </w:rPr>
        <w:t xml:space="preserve"> GNC 23,83 ± 0,85 kg; P= 0,0229) e não houve diferença entre as categorias primíparas ou multíparas (P= 0,1277) (figura 1). A maior produção de leite encontrada no GHC corrobora com os achados de Menta et al. (2021) que avaliou animais da raça Jersey e encontrou produção de leite superior em animais que apresentaram hipocalcemia subclínica (≤2,04 mmol/L). O maior sequestro de Ca para a glândula mamária desencadeia maior produção de leite e, consequentemente, reduz o nível sanguíneo de Ca (MENTA et al., 2021). Seely et al. (2021) também encontrou resultados semelhantes, em que vacas com hipocalcemia subclínica produzem mais leite em comparação com as vacas normocalcêmicas.</w:t>
      </w:r>
    </w:p>
    <w:p>
      <w:pPr>
        <w:pStyle w:val="LOnormal"/>
        <w:ind w:left="0" w:right="0" w:firstLine="720"/>
        <w:jc w:val="both"/>
        <w:rPr/>
      </w:pPr>
      <w:r>
        <w:rPr>
          <w:rFonts w:ascii="Arial" w:hAnsi="Arial"/>
          <w:color w:val="000000"/>
          <w:sz w:val="22"/>
          <w:szCs w:val="22"/>
          <w:u w:val="none"/>
          <w:lang w:val="pt-BR"/>
        </w:rPr>
        <w:t xml:space="preserve">A calcemia não influenciou na CCS, porém as maiores quantidades foram encontradas nas multíparas (349.480 </w:t>
      </w:r>
      <w:r>
        <w:rPr>
          <w:rFonts w:ascii="Arial" w:hAnsi="Arial"/>
          <w:i/>
          <w:iCs/>
          <w:color w:val="000000"/>
          <w:sz w:val="22"/>
          <w:szCs w:val="22"/>
          <w:u w:val="none"/>
          <w:lang w:val="pt-BR"/>
        </w:rPr>
        <w:t>vs</w:t>
      </w:r>
      <w:r>
        <w:rPr>
          <w:rFonts w:ascii="Arial" w:hAnsi="Arial"/>
          <w:color w:val="000000"/>
          <w:sz w:val="22"/>
          <w:szCs w:val="22"/>
          <w:u w:val="none"/>
          <w:lang w:val="pt-BR"/>
        </w:rPr>
        <w:t xml:space="preserve"> 59.630 </w:t>
      </w:r>
      <w:r>
        <w:rPr>
          <w:rFonts w:cs="Arial" w:ascii="Arial" w:hAnsi="Arial"/>
          <w:color w:val="000000"/>
          <w:sz w:val="22"/>
          <w:szCs w:val="22"/>
          <w:u w:val="none"/>
          <w:lang w:val="pt-BR"/>
        </w:rPr>
        <w:t>céls/ml</w:t>
      </w:r>
      <w:r>
        <w:rPr>
          <w:rFonts w:ascii="Arial" w:hAnsi="Arial"/>
          <w:color w:val="000000"/>
          <w:sz w:val="22"/>
          <w:szCs w:val="22"/>
          <w:u w:val="none"/>
          <w:lang w:val="pt-BR"/>
        </w:rPr>
        <w:t>) (P= 0,0222), o que vai de acordo com Kull et al. (2019), que encontrou maiores quantidades de CCS em vacas multíparas da raça Holandês. Este resultado pode ser relacionado à idade dos animais, que com o avançar no número das lactações, perdem condição corporal e os tecidos do úbere, tornando-se mais susceptíveis à invasão de microrganismos, o que aumenta a chance de ocorrência de mastite (SABEK et al., 2021).</w:t>
      </w:r>
    </w:p>
    <w:p>
      <w:pPr>
        <w:pStyle w:val="LOnormal"/>
        <w:jc w:val="both"/>
        <w:rPr>
          <w:rFonts w:ascii="Arial" w:hAnsi="Arial"/>
          <w:color w:val="000000"/>
          <w:sz w:val="22"/>
          <w:szCs w:val="22"/>
          <w:u w:val="none"/>
          <w:lang w:val="pt-BR"/>
        </w:rPr>
      </w:pPr>
      <w:r>
        <w:rPr>
          <w:rFonts w:ascii="Arial" w:hAnsi="Arial"/>
          <w:color w:val="000000"/>
          <w:sz w:val="22"/>
          <w:szCs w:val="22"/>
          <w:u w:val="none"/>
          <w:lang w:val="pt-BR"/>
        </w:rPr>
      </w:r>
    </w:p>
    <w:p>
      <w:pPr>
        <w:pStyle w:val="LOnormal"/>
        <w:jc w:val="center"/>
        <w:rPr/>
      </w:pPr>
      <w:r>
        <w:rPr/>
        <w:drawing>
          <wp:inline distT="0" distB="0" distL="0" distR="0">
            <wp:extent cx="3836035" cy="2250440"/>
            <wp:effectExtent l="0" t="0" r="0" b="0"/>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4"/>
                    <a:srcRect l="0" t="2424" r="0" b="3230"/>
                    <a:stretch>
                      <a:fillRect/>
                    </a:stretch>
                  </pic:blipFill>
                  <pic:spPr bwMode="auto">
                    <a:xfrm>
                      <a:off x="0" y="0"/>
                      <a:ext cx="3836035" cy="2250440"/>
                    </a:xfrm>
                    <a:prstGeom prst="rect">
                      <a:avLst/>
                    </a:prstGeom>
                  </pic:spPr>
                </pic:pic>
              </a:graphicData>
            </a:graphic>
          </wp:inline>
        </w:drawing>
      </w:r>
    </w:p>
    <w:p>
      <w:pPr>
        <w:pStyle w:val="LOnormal"/>
        <w:jc w:val="both"/>
        <w:rPr>
          <w:rFonts w:ascii="Arial" w:hAnsi="Arial"/>
          <w:color w:val="000000"/>
          <w:sz w:val="22"/>
          <w:szCs w:val="22"/>
          <w:u w:val="none"/>
          <w:lang w:val="pt-BR"/>
        </w:rPr>
      </w:pPr>
      <w:r>
        <w:rPr>
          <w:rFonts w:ascii="Arial" w:hAnsi="Arial"/>
          <w:color w:val="000000"/>
          <w:sz w:val="22"/>
          <w:szCs w:val="22"/>
          <w:u w:val="none"/>
          <w:lang w:val="pt-BR"/>
        </w:rPr>
        <w:t>Figura 1. Produção leiteira de vacas da raça Jersey com hipocalcemia subclínica até 56 dias de lactação. Grupos: Hipocalcêmicos (GHC) e Normocalcêmicos (GNC). P= 0,0229.</w:t>
      </w:r>
    </w:p>
    <w:p>
      <w:pPr>
        <w:pStyle w:val="LOnormal"/>
        <w:jc w:val="both"/>
        <w:rPr>
          <w:rFonts w:ascii="Arial" w:hAnsi="Arial"/>
          <w:color w:val="000000"/>
          <w:sz w:val="22"/>
          <w:szCs w:val="22"/>
          <w:u w:val="none"/>
          <w:lang w:val="pt-BR"/>
        </w:rPr>
      </w:pPr>
      <w:r>
        <w:rPr>
          <w:rFonts w:ascii="Arial" w:hAnsi="Arial"/>
          <w:color w:val="000000"/>
          <w:sz w:val="22"/>
          <w:szCs w:val="22"/>
          <w:u w:val="none"/>
          <w:lang w:val="pt-BR"/>
        </w:rPr>
      </w:r>
    </w:p>
    <w:p>
      <w:pPr>
        <w:pStyle w:val="LOnormal"/>
        <w:jc w:val="both"/>
        <w:rPr/>
      </w:pPr>
      <w:r>
        <w:rPr>
          <w:rFonts w:ascii="Arial" w:hAnsi="Arial"/>
          <w:b/>
          <w:bCs/>
          <w:color w:val="000000"/>
          <w:sz w:val="22"/>
          <w:szCs w:val="22"/>
          <w:u w:val="none"/>
          <w:lang w:val="pt-BR"/>
        </w:rPr>
        <w:t>Conclusão</w:t>
      </w:r>
      <w:r>
        <w:rPr>
          <w:rFonts w:ascii="Arial" w:hAnsi="Arial"/>
          <w:color w:val="000000"/>
          <w:sz w:val="22"/>
          <w:szCs w:val="22"/>
          <w:u w:val="none"/>
          <w:lang w:val="pt-BR"/>
        </w:rPr>
        <w:t>: A partir dos dados obtidos, concluímos que vacas leiteiras da raça Jersey com hipocalcemia subclínica 24 horas após o parto apresentam maior produção de leite sem afetar a CCS. Os estudos sobre a raça Jersey ainda são escassos, destacando a importância dos nossos dados e a necessidade de estudos futuros.</w:t>
      </w:r>
      <w:r>
        <w:rPr>
          <w:lang w:val="pt-BR"/>
        </w:rPr>
        <w:t xml:space="preserve"> </w:t>
      </w:r>
    </w:p>
    <w:p>
      <w:pPr>
        <w:pStyle w:val="LOnormal"/>
        <w:jc w:val="both"/>
        <w:rPr>
          <w:rFonts w:ascii="Arial" w:hAnsi="Arial" w:eastAsia="Arial" w:cs="Arial"/>
          <w:b/>
          <w:b/>
          <w:bCs/>
          <w:color w:val="000000"/>
          <w:sz w:val="22"/>
          <w:szCs w:val="22"/>
          <w:u w:val="none"/>
          <w:lang w:val="pt-BR"/>
        </w:rPr>
      </w:pPr>
      <w:r>
        <w:rPr>
          <w:rFonts w:eastAsia="Arial" w:cs="Arial" w:ascii="Arial" w:hAnsi="Arial"/>
          <w:b/>
          <w:bCs/>
          <w:color w:val="000000"/>
          <w:sz w:val="22"/>
          <w:szCs w:val="22"/>
          <w:u w:val="none"/>
          <w:lang w:val="pt-BR"/>
        </w:rPr>
        <w:drawing>
          <wp:anchor behindDoc="0" distT="152400" distB="152400" distL="152400" distR="152400" simplePos="0" locked="0" layoutInCell="0" allowOverlap="1" relativeHeight="5">
            <wp:simplePos x="0" y="0"/>
            <wp:positionH relativeFrom="page">
              <wp:posOffset>-13970</wp:posOffset>
            </wp:positionH>
            <wp:positionV relativeFrom="page">
              <wp:posOffset>-13970</wp:posOffset>
            </wp:positionV>
            <wp:extent cx="7556500" cy="1115060"/>
            <wp:effectExtent l="0" t="0" r="0" b="0"/>
            <wp:wrapTopAndBottom/>
            <wp:docPr id="4" name="Figura2"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Cabeçalho SBSS-02.jpg"/>
                    <pic:cNvPicPr>
                      <a:picLocks noChangeAspect="1" noChangeArrowheads="1"/>
                    </pic:cNvPicPr>
                  </pic:nvPicPr>
                  <pic:blipFill>
                    <a:blip r:embed="rId5"/>
                    <a:stretch>
                      <a:fillRect/>
                    </a:stretch>
                  </pic:blipFill>
                  <pic:spPr bwMode="auto">
                    <a:xfrm>
                      <a:off x="0" y="0"/>
                      <a:ext cx="7556500" cy="1115060"/>
                    </a:xfrm>
                    <a:prstGeom prst="rect">
                      <a:avLst/>
                    </a:prstGeom>
                  </pic:spPr>
                </pic:pic>
              </a:graphicData>
            </a:graphic>
          </wp:anchor>
        </w:drawing>
      </w:r>
    </w:p>
    <w:p>
      <w:pPr>
        <w:pStyle w:val="LOnormal"/>
        <w:jc w:val="both"/>
        <w:rPr/>
      </w:pPr>
      <w:r>
        <w:rPr>
          <w:rFonts w:ascii="Arial" w:hAnsi="Arial"/>
          <w:b/>
          <w:bCs/>
          <w:color w:val="000000"/>
          <w:sz w:val="22"/>
          <w:szCs w:val="22"/>
          <w:u w:val="none"/>
          <w:lang w:val="pt-BR"/>
        </w:rPr>
        <w:t>Agradecimento:</w:t>
      </w:r>
      <w:r>
        <w:rPr>
          <w:rFonts w:ascii="Arial" w:hAnsi="Arial"/>
          <w:bCs/>
          <w:color w:val="000000"/>
          <w:sz w:val="22"/>
          <w:szCs w:val="22"/>
          <w:u w:val="none"/>
          <w:lang w:val="pt-BR"/>
        </w:rPr>
        <w:t xml:space="preserve"> Instituto Federal Catarinense – </w:t>
      </w:r>
      <w:r>
        <w:rPr>
          <w:rFonts w:ascii="Arial" w:hAnsi="Arial"/>
          <w:bCs/>
          <w:i/>
          <w:color w:val="000000"/>
          <w:sz w:val="22"/>
          <w:szCs w:val="22"/>
          <w:u w:val="none"/>
          <w:lang w:val="pt-BR"/>
        </w:rPr>
        <w:t xml:space="preserve">campus </w:t>
      </w:r>
      <w:r>
        <w:rPr>
          <w:rFonts w:ascii="Arial" w:hAnsi="Arial"/>
          <w:bCs/>
          <w:color w:val="000000"/>
          <w:sz w:val="22"/>
          <w:szCs w:val="22"/>
          <w:u w:val="none"/>
          <w:lang w:val="pt-BR"/>
        </w:rPr>
        <w:t xml:space="preserve">Araquari </w:t>
      </w:r>
    </w:p>
    <w:p>
      <w:pPr>
        <w:pStyle w:val="LOnormal"/>
        <w:jc w:val="both"/>
        <w:rPr>
          <w:rFonts w:ascii="Arial" w:hAnsi="Arial"/>
          <w:b/>
          <w:b/>
          <w:bCs/>
          <w:color w:val="000000"/>
          <w:sz w:val="22"/>
          <w:szCs w:val="22"/>
          <w:u w:val="none"/>
          <w:lang w:val="pt-BR"/>
        </w:rPr>
      </w:pPr>
      <w:r>
        <w:rPr>
          <w:rFonts w:ascii="Arial" w:hAnsi="Arial"/>
          <w:b/>
          <w:bCs/>
          <w:color w:val="000000"/>
          <w:sz w:val="22"/>
          <w:szCs w:val="22"/>
          <w:u w:val="none"/>
          <w:lang w:val="pt-BR"/>
        </w:rPr>
      </w:r>
    </w:p>
    <w:p>
      <w:pPr>
        <w:pStyle w:val="LOnormal"/>
        <w:jc w:val="both"/>
        <w:rPr/>
      </w:pPr>
      <w:r>
        <w:rPr>
          <w:rFonts w:ascii="Arial" w:hAnsi="Arial"/>
          <w:b/>
          <w:bCs/>
          <w:color w:val="000000"/>
          <w:sz w:val="22"/>
          <w:szCs w:val="22"/>
          <w:u w:val="none"/>
          <w:lang w:val="pt-BR"/>
        </w:rPr>
        <w:t xml:space="preserve">COMITÊ DE ÉTICA: </w:t>
      </w:r>
      <w:r>
        <w:rPr>
          <w:rFonts w:ascii="Arial" w:hAnsi="Arial"/>
          <w:bCs/>
          <w:color w:val="000000"/>
          <w:sz w:val="22"/>
          <w:szCs w:val="22"/>
          <w:u w:val="none"/>
          <w:lang w:val="pt-BR"/>
        </w:rPr>
        <w:t>Instituto Federal Catarinense n° 402/2022</w:t>
      </w:r>
    </w:p>
    <w:p>
      <w:pPr>
        <w:pStyle w:val="LOnormal"/>
        <w:jc w:val="both"/>
        <w:rPr>
          <w:rFonts w:ascii="Arial" w:hAnsi="Arial" w:eastAsia="Arial" w:cs="Arial"/>
          <w:b/>
          <w:b/>
          <w:bCs/>
          <w:color w:val="000000"/>
          <w:sz w:val="22"/>
          <w:szCs w:val="22"/>
          <w:u w:val="none"/>
          <w:lang w:val="pt-BR"/>
        </w:rPr>
      </w:pPr>
      <w:r>
        <w:rPr>
          <w:rFonts w:eastAsia="Arial" w:cs="Arial" w:ascii="Arial" w:hAnsi="Arial"/>
          <w:b/>
          <w:bCs/>
          <w:color w:val="000000"/>
          <w:sz w:val="22"/>
          <w:szCs w:val="22"/>
          <w:u w:val="none"/>
          <w:lang w:val="pt-BR"/>
        </w:rPr>
      </w:r>
    </w:p>
    <w:p>
      <w:pPr>
        <w:pStyle w:val="LOnormal"/>
        <w:jc w:val="both"/>
        <w:rPr>
          <w:rFonts w:ascii="Arial" w:hAnsi="Arial"/>
          <w:b/>
          <w:b/>
          <w:bCs/>
          <w:color w:val="000000"/>
          <w:sz w:val="22"/>
          <w:szCs w:val="22"/>
          <w:u w:val="none"/>
        </w:rPr>
      </w:pPr>
      <w:r>
        <w:rPr>
          <w:rFonts w:ascii="Arial" w:hAnsi="Arial"/>
          <w:b/>
          <w:bCs/>
          <w:color w:val="000000"/>
          <w:sz w:val="22"/>
          <w:szCs w:val="22"/>
          <w:u w:val="none"/>
        </w:rPr>
        <w:t xml:space="preserve">Referências: </w:t>
      </w:r>
    </w:p>
    <w:p>
      <w:pPr>
        <w:pStyle w:val="LOnormal"/>
        <w:jc w:val="both"/>
        <w:rPr>
          <w:rFonts w:ascii="Arial" w:hAnsi="Arial"/>
          <w:b/>
          <w:b/>
          <w:bCs/>
          <w:color w:val="000000"/>
          <w:sz w:val="22"/>
          <w:szCs w:val="22"/>
          <w:u w:val="none"/>
        </w:rPr>
      </w:pPr>
      <w:r>
        <w:rPr>
          <w:rFonts w:ascii="Arial" w:hAnsi="Arial"/>
          <w:b/>
          <w:bCs/>
          <w:color w:val="000000"/>
          <w:sz w:val="22"/>
          <w:szCs w:val="22"/>
          <w:u w:val="none"/>
        </w:rPr>
      </w:r>
    </w:p>
    <w:p>
      <w:pPr>
        <w:pStyle w:val="Normal"/>
        <w:jc w:val="both"/>
        <w:rPr/>
      </w:pPr>
      <w:r>
        <w:rPr>
          <w:rFonts w:cs="Arial" w:ascii="Arial" w:hAnsi="Arial"/>
          <w:sz w:val="22"/>
          <w:szCs w:val="22"/>
          <w:shd w:fill="FFFFFF" w:val="clear"/>
        </w:rPr>
        <w:t xml:space="preserve">GOFF, J.P. Pathophysiology of Calcium and Phosphorus Disorders. </w:t>
      </w:r>
      <w:r>
        <w:rPr>
          <w:rFonts w:cs="Arial" w:ascii="Arial" w:hAnsi="Arial"/>
          <w:b/>
          <w:sz w:val="22"/>
          <w:szCs w:val="22"/>
          <w:shd w:fill="FFFFFF" w:val="clear"/>
        </w:rPr>
        <w:t>Veterinary Clinics of North America: Food Animal Practice,</w:t>
      </w:r>
      <w:r>
        <w:rPr>
          <w:rFonts w:cs="Arial" w:ascii="Arial" w:hAnsi="Arial"/>
          <w:sz w:val="22"/>
          <w:szCs w:val="22"/>
          <w:shd w:fill="FFFFFF" w:val="clear"/>
        </w:rPr>
        <w:t xml:space="preserve"> v.16, n.2, p.319-337, 2000. DOI: </w:t>
      </w:r>
      <w:hyperlink r:id="rId6" w:tgtFrame="Persistent link using digital object identifier">
        <w:r>
          <w:rPr>
            <w:rStyle w:val="Semestilodocaractere"/>
            <w:rFonts w:eastAsia="Times New Roman" w:cs="Arial" w:ascii="Arial" w:hAnsi="Arial"/>
            <w:color w:val="1F1F1F"/>
            <w:sz w:val="22"/>
            <w:szCs w:val="22"/>
          </w:rPr>
          <w:t>https://doi.org/10.1016/S0749-0720(15)30108-0</w:t>
        </w:r>
      </w:hyperlink>
      <w:r>
        <w:rPr>
          <w:rFonts w:eastAsia="Times New Roman" w:cs="Arial" w:ascii="Arial" w:hAnsi="Arial"/>
          <w:sz w:val="22"/>
          <w:szCs w:val="22"/>
        </w:rPr>
        <w:t>.</w:t>
      </w:r>
    </w:p>
    <w:p>
      <w:pPr>
        <w:pStyle w:val="LOnormal"/>
        <w:jc w:val="both"/>
        <w:rPr>
          <w:rFonts w:ascii="Arial" w:hAnsi="Arial" w:cs="Arial"/>
          <w:color w:val="000000"/>
          <w:sz w:val="22"/>
          <w:szCs w:val="22"/>
          <w:u w:val="none"/>
        </w:rPr>
      </w:pPr>
      <w:r>
        <w:rPr>
          <w:rFonts w:cs="Arial" w:ascii="Arial" w:hAnsi="Arial"/>
          <w:color w:val="000000"/>
          <w:sz w:val="22"/>
          <w:szCs w:val="22"/>
          <w:u w:val="none"/>
        </w:rPr>
      </w:r>
    </w:p>
    <w:p>
      <w:pPr>
        <w:pStyle w:val="Normal"/>
        <w:jc w:val="both"/>
        <w:rPr/>
      </w:pPr>
      <w:r>
        <w:rPr>
          <w:rFonts w:cs="Arial" w:ascii="Arial" w:hAnsi="Arial"/>
          <w:sz w:val="22"/>
          <w:szCs w:val="22"/>
          <w:lang w:eastAsia="pt-BR"/>
        </w:rPr>
        <w:t xml:space="preserve">KULL, E.; SAHIN, A.; ATASEVER, S.; UGURLUTEPE, E.; SOYDANER, M.A. The effects of somatic cell count on milk yield and milk composition in Holstein cows. </w:t>
      </w:r>
      <w:r>
        <w:rPr>
          <w:rFonts w:cs="Arial" w:ascii="Arial" w:hAnsi="Arial"/>
          <w:b/>
          <w:sz w:val="22"/>
          <w:szCs w:val="22"/>
          <w:lang w:eastAsia="pt-BR"/>
        </w:rPr>
        <w:t>Veterinarski Arhiv</w:t>
      </w:r>
      <w:r>
        <w:rPr>
          <w:rFonts w:cs="Arial" w:ascii="Arial" w:hAnsi="Arial"/>
          <w:sz w:val="22"/>
          <w:szCs w:val="22"/>
          <w:lang w:eastAsia="pt-BR"/>
        </w:rPr>
        <w:t xml:space="preserve">, v.89, n.2, p.143-154, 2019. </w:t>
      </w:r>
      <w:r>
        <w:rPr>
          <w:rFonts w:eastAsia="Times New Roman" w:cs="Arial" w:ascii="Arial" w:hAnsi="Arial"/>
          <w:sz w:val="22"/>
          <w:szCs w:val="22"/>
        </w:rPr>
        <w:t>DOI: 10.24099/vet.arhiv.0168.</w:t>
      </w:r>
    </w:p>
    <w:p>
      <w:pPr>
        <w:pStyle w:val="LOnormal"/>
        <w:jc w:val="both"/>
        <w:rPr>
          <w:rFonts w:ascii="Arial" w:hAnsi="Arial" w:cs="Arial"/>
          <w:color w:val="000000"/>
          <w:sz w:val="22"/>
          <w:szCs w:val="22"/>
          <w:u w:val="none"/>
        </w:rPr>
      </w:pPr>
      <w:r>
        <w:rPr>
          <w:rFonts w:cs="Arial" w:ascii="Arial" w:hAnsi="Arial"/>
          <w:color w:val="000000"/>
          <w:sz w:val="22"/>
          <w:szCs w:val="22"/>
          <w:u w:val="none"/>
        </w:rPr>
      </w:r>
    </w:p>
    <w:p>
      <w:pPr>
        <w:pStyle w:val="Normal"/>
        <w:jc w:val="both"/>
        <w:rPr/>
      </w:pPr>
      <w:r>
        <w:rPr>
          <w:rFonts w:cs="Arial" w:ascii="Arial" w:hAnsi="Arial"/>
          <w:sz w:val="22"/>
          <w:szCs w:val="22"/>
        </w:rPr>
        <w:t>MENTA, P.R.; FERNANDES, L.; POIT, D.; CELESTINO, M.L.; MACHADO, V.S.; BALLOU, M.A.; NEVES, ,R.C.</w:t>
      </w:r>
      <w:r>
        <w:rPr>
          <w:rFonts w:cs="Arial" w:ascii="Arial" w:hAnsi="Arial"/>
          <w:sz w:val="22"/>
          <w:szCs w:val="22"/>
          <w:lang w:eastAsia="pt-BR"/>
        </w:rPr>
        <w:t xml:space="preserve"> Association of blood calcium concentration in the first 3 days after parturition and energy balance metabolites at day 3 in milk with disease and production outcomes in multiparous jersey cows. </w:t>
      </w:r>
      <w:r>
        <w:rPr>
          <w:rFonts w:cs="Arial" w:ascii="Arial" w:hAnsi="Arial"/>
          <w:b/>
          <w:sz w:val="22"/>
          <w:szCs w:val="22"/>
        </w:rPr>
        <w:t>Journal of Dairy Science</w:t>
      </w:r>
      <w:r>
        <w:rPr>
          <w:rFonts w:cs="Arial" w:ascii="Arial" w:hAnsi="Arial"/>
          <w:sz w:val="22"/>
          <w:szCs w:val="22"/>
          <w:lang w:eastAsia="pt-BR"/>
        </w:rPr>
        <w:t xml:space="preserve">, v.104, n.5, p.5854-5866, 2021. DOI: </w:t>
      </w:r>
      <w:hyperlink r:id="rId7" w:tgtFrame="Persistent link using digital object identifier">
        <w:r>
          <w:rPr>
            <w:rStyle w:val="Semestilodocaractere"/>
            <w:rFonts w:eastAsia="Times New Roman" w:cs="Arial" w:ascii="Arial" w:hAnsi="Arial"/>
            <w:color w:val="1F1F1F"/>
            <w:sz w:val="22"/>
            <w:szCs w:val="22"/>
          </w:rPr>
          <w:t>https://doi.org/10.3168/jds.2020-19189</w:t>
        </w:r>
      </w:hyperlink>
      <w:r>
        <w:rPr>
          <w:rFonts w:eastAsia="Times New Roman" w:cs="Arial" w:ascii="Arial" w:hAnsi="Arial"/>
          <w:sz w:val="22"/>
          <w:szCs w:val="22"/>
        </w:rPr>
        <w:t>.</w:t>
      </w:r>
    </w:p>
    <w:p>
      <w:pPr>
        <w:pStyle w:val="Normal"/>
        <w:jc w:val="both"/>
        <w:rPr>
          <w:rFonts w:ascii="Arial" w:hAnsi="Arial" w:cs="Arial"/>
          <w:sz w:val="22"/>
          <w:szCs w:val="22"/>
          <w:lang w:eastAsia="pt-BR"/>
        </w:rPr>
      </w:pPr>
      <w:r>
        <w:rPr>
          <w:rFonts w:cs="Arial" w:ascii="Arial" w:hAnsi="Arial"/>
          <w:sz w:val="22"/>
          <w:szCs w:val="22"/>
          <w:lang w:eastAsia="pt-BR"/>
        </w:rPr>
      </w:r>
    </w:p>
    <w:p>
      <w:pPr>
        <w:pStyle w:val="Normal"/>
        <w:jc w:val="both"/>
        <w:rPr/>
      </w:pPr>
      <w:r>
        <w:rPr>
          <w:rFonts w:cs="Arial" w:ascii="Arial" w:hAnsi="Arial"/>
          <w:sz w:val="22"/>
          <w:szCs w:val="22"/>
          <w:lang w:eastAsia="pt-BR"/>
        </w:rPr>
        <w:t xml:space="preserve">MOORE, S.M.; DEVRIES, T.J. Effect of diet-induced negative energy balance on the feeding behavior of dairy cows. </w:t>
      </w:r>
      <w:r>
        <w:rPr>
          <w:rFonts w:cs="Arial" w:ascii="Arial" w:hAnsi="Arial"/>
          <w:b/>
          <w:sz w:val="22"/>
          <w:szCs w:val="22"/>
          <w:lang w:eastAsia="pt-BR"/>
        </w:rPr>
        <w:t>Journal of Dairy Science</w:t>
      </w:r>
      <w:r>
        <w:rPr>
          <w:rFonts w:cs="Arial" w:ascii="Arial" w:hAnsi="Arial"/>
          <w:sz w:val="22"/>
          <w:szCs w:val="22"/>
          <w:lang w:eastAsia="pt-BR"/>
        </w:rPr>
        <w:t xml:space="preserve">, v.103, n.8, p.7288-7301, 2020. DOI: </w:t>
      </w:r>
      <w:hyperlink r:id="rId8" w:tgtFrame="Persistent link using digital object identifier">
        <w:r>
          <w:rPr>
            <w:rStyle w:val="Semestilodocaractere"/>
            <w:rFonts w:eastAsia="Times New Roman" w:cs="Arial" w:ascii="Arial" w:hAnsi="Arial"/>
            <w:color w:val="1F1F1F"/>
            <w:sz w:val="22"/>
            <w:szCs w:val="22"/>
          </w:rPr>
          <w:t>https://doi.org/10.3168/jds.2019-17705</w:t>
        </w:r>
      </w:hyperlink>
      <w:r>
        <w:rPr>
          <w:rFonts w:eastAsia="Times New Roman" w:cs="Arial" w:ascii="Arial" w:hAnsi="Arial"/>
          <w:sz w:val="22"/>
          <w:szCs w:val="22"/>
        </w:rPr>
        <w:t>.</w:t>
      </w:r>
    </w:p>
    <w:p>
      <w:pPr>
        <w:pStyle w:val="Normal"/>
        <w:jc w:val="both"/>
        <w:rPr>
          <w:rFonts w:ascii="Arial" w:hAnsi="Arial" w:cs="Arial"/>
          <w:sz w:val="22"/>
          <w:szCs w:val="22"/>
          <w:lang w:eastAsia="pt-BR"/>
        </w:rPr>
      </w:pPr>
      <w:r>
        <w:rPr>
          <w:rFonts w:cs="Arial" w:ascii="Arial" w:hAnsi="Arial"/>
          <w:sz w:val="22"/>
          <w:szCs w:val="22"/>
          <w:lang w:eastAsia="pt-BR"/>
        </w:rPr>
      </w:r>
    </w:p>
    <w:p>
      <w:pPr>
        <w:pStyle w:val="Normal"/>
        <w:jc w:val="both"/>
        <w:rPr/>
      </w:pPr>
      <w:r>
        <w:rPr>
          <w:rFonts w:cs="Arial" w:ascii="Arial" w:hAnsi="Arial"/>
          <w:sz w:val="22"/>
          <w:szCs w:val="22"/>
          <w:lang w:eastAsia="pt-BR"/>
        </w:rPr>
        <w:t>SABEK, A.; LI, C.; DU, C.; NAN, L.; NI, J.; ELGAZZAR, E.; MA, Y.; SALEM, A.Z.M.; ZHANG, S. Effects of parity and days in milk on milk composition in correlation with beta-hydroxybutyrate in tropic dairy cows</w:t>
      </w:r>
      <w:r>
        <w:rPr>
          <w:rFonts w:cs="Arial" w:ascii="Arial" w:hAnsi="Arial"/>
          <w:b/>
          <w:sz w:val="22"/>
          <w:szCs w:val="22"/>
          <w:lang w:eastAsia="pt-BR"/>
        </w:rPr>
        <w:t>. Tropical Animal Health and Production</w:t>
      </w:r>
      <w:r>
        <w:rPr>
          <w:rFonts w:cs="Arial" w:ascii="Arial" w:hAnsi="Arial"/>
          <w:sz w:val="22"/>
          <w:szCs w:val="22"/>
          <w:lang w:eastAsia="pt-BR"/>
        </w:rPr>
        <w:t>, 53:270, 2021. DOI: https://doi.org/10.1007/s11250-021-02690-7.</w:t>
      </w:r>
    </w:p>
    <w:p>
      <w:pPr>
        <w:pStyle w:val="Normal"/>
        <w:jc w:val="both"/>
        <w:rPr>
          <w:rFonts w:ascii="Arial" w:hAnsi="Arial" w:cs="Arial"/>
          <w:sz w:val="22"/>
          <w:szCs w:val="22"/>
          <w:lang w:eastAsia="pt-BR"/>
        </w:rPr>
      </w:pPr>
      <w:r>
        <w:rPr>
          <w:rFonts w:cs="Arial" w:ascii="Arial" w:hAnsi="Arial"/>
          <w:sz w:val="22"/>
          <w:szCs w:val="22"/>
          <w:lang w:eastAsia="pt-BR"/>
        </w:rPr>
      </w:r>
    </w:p>
    <w:p>
      <w:pPr>
        <w:pStyle w:val="Normal"/>
        <w:jc w:val="both"/>
        <w:rPr/>
      </w:pPr>
      <w:r>
        <w:rPr>
          <w:rFonts w:cs="Arial" w:ascii="Arial" w:hAnsi="Arial"/>
          <w:sz w:val="22"/>
          <w:szCs w:val="22"/>
          <w:lang w:eastAsia="pt-BR"/>
        </w:rPr>
        <w:t xml:space="preserve">SABORÍO-MONTERO, A.; VARGAS-LEITÓN, B.; ROMERO-ZÚÑIGA, J.J.; SÁNCHEZ, J.M. Risk factors associated with milk fever occurrence in grazing dairy cattle. </w:t>
      </w:r>
      <w:r>
        <w:rPr>
          <w:rFonts w:cs="Arial" w:ascii="Arial" w:hAnsi="Arial"/>
          <w:b/>
          <w:sz w:val="22"/>
          <w:szCs w:val="22"/>
        </w:rPr>
        <w:t>Journal of Dairy Science</w:t>
      </w:r>
      <w:r>
        <w:rPr>
          <w:rFonts w:cs="Arial" w:ascii="Arial" w:hAnsi="Arial"/>
          <w:sz w:val="22"/>
          <w:szCs w:val="22"/>
          <w:lang w:eastAsia="pt-BR"/>
        </w:rPr>
        <w:t xml:space="preserve">, v.100, n.12, p.9715–9722, 2017. DOI: </w:t>
      </w:r>
      <w:r>
        <w:rPr>
          <w:rFonts w:eastAsia="Times New Roman" w:cs="Arial" w:ascii="Arial" w:hAnsi="Arial"/>
          <w:sz w:val="22"/>
          <w:szCs w:val="22"/>
        </w:rPr>
        <w:t>https://doi.org/10.3168/jds.2017-13065.</w:t>
      </w:r>
    </w:p>
    <w:p>
      <w:pPr>
        <w:pStyle w:val="Normal"/>
        <w:jc w:val="both"/>
        <w:rPr>
          <w:rFonts w:ascii="Arial" w:hAnsi="Arial" w:cs="Arial"/>
          <w:sz w:val="22"/>
          <w:szCs w:val="22"/>
          <w:lang w:eastAsia="pt-BR"/>
        </w:rPr>
      </w:pPr>
      <w:r>
        <w:rPr>
          <w:rFonts w:cs="Arial" w:ascii="Arial" w:hAnsi="Arial"/>
          <w:sz w:val="22"/>
          <w:szCs w:val="22"/>
          <w:lang w:eastAsia="pt-BR"/>
        </w:rPr>
        <w:t xml:space="preserve">   </w:t>
      </w:r>
    </w:p>
    <w:p>
      <w:pPr>
        <w:pStyle w:val="Normal"/>
        <w:jc w:val="both"/>
        <w:rPr/>
      </w:pPr>
      <w:r>
        <w:rPr>
          <w:rFonts w:cs="Arial" w:ascii="Arial" w:hAnsi="Arial"/>
          <w:sz w:val="22"/>
          <w:szCs w:val="22"/>
          <w:lang w:eastAsia="pt-BR"/>
        </w:rPr>
        <w:t xml:space="preserve">SEELY, C.R.; LENO, B.M.; KERWIN, A.L.; OVERTON, T.R.; MCART, J.A.A. Association of subclinical hypocalcemia dynamics with dry matter intake, milk yield, and blood minerals during the periparturient period. </w:t>
      </w:r>
      <w:r>
        <w:rPr>
          <w:rFonts w:cs="Arial" w:ascii="Arial" w:hAnsi="Arial"/>
          <w:b/>
          <w:sz w:val="22"/>
          <w:szCs w:val="22"/>
          <w:lang w:eastAsia="pt-BR"/>
        </w:rPr>
        <w:t>Journal of Dairy Science</w:t>
      </w:r>
      <w:r>
        <w:rPr>
          <w:rFonts w:cs="Arial" w:ascii="Arial" w:hAnsi="Arial"/>
          <w:sz w:val="22"/>
          <w:szCs w:val="22"/>
          <w:lang w:eastAsia="pt-BR"/>
        </w:rPr>
        <w:t xml:space="preserve">, v.104, n.4, p.4692-4702, 2021. DOI: </w:t>
      </w:r>
      <w:hyperlink r:id="rId9" w:tgtFrame="Persistent link using digital object identifier">
        <w:r>
          <w:rPr>
            <w:rStyle w:val="Semestilodocaractere"/>
            <w:rFonts w:eastAsia="Times New Roman" w:cs="Arial" w:ascii="Arial" w:hAnsi="Arial"/>
            <w:sz w:val="22"/>
            <w:szCs w:val="22"/>
          </w:rPr>
          <w:t>https://doi.org/10.3168/jds.2020-19344</w:t>
        </w:r>
      </w:hyperlink>
      <w:r>
        <w:rPr>
          <w:rFonts w:eastAsia="Times New Roman" w:cs="Arial" w:ascii="Arial" w:hAnsi="Arial"/>
          <w:sz w:val="22"/>
          <w:szCs w:val="22"/>
        </w:rPr>
        <w:t>.</w:t>
      </w:r>
    </w:p>
    <w:p>
      <w:pPr>
        <w:pStyle w:val="LOnormal"/>
        <w:jc w:val="both"/>
        <w:rPr>
          <w:rFonts w:ascii="Arial" w:hAnsi="Arial" w:cs="Arial"/>
          <w:color w:val="000000"/>
          <w:sz w:val="22"/>
          <w:szCs w:val="22"/>
          <w:u w:val="none"/>
        </w:rPr>
      </w:pPr>
      <w:r>
        <w:rPr>
          <w:rFonts w:cs="Arial" w:ascii="Arial" w:hAnsi="Arial"/>
          <w:color w:val="000000"/>
          <w:sz w:val="22"/>
          <w:szCs w:val="22"/>
          <w:u w:val="none"/>
        </w:rPr>
      </w:r>
    </w:p>
    <w:p>
      <w:pPr>
        <w:pStyle w:val="Normal"/>
        <w:jc w:val="both"/>
        <w:rPr/>
      </w:pPr>
      <w:r>
        <w:rPr>
          <w:rFonts w:cs="Arial" w:ascii="Arial" w:hAnsi="Arial"/>
          <w:sz w:val="22"/>
          <w:szCs w:val="22"/>
          <w:lang w:val="pt-BR" w:eastAsia="pt-BR"/>
        </w:rPr>
        <w:t xml:space="preserve">VALLDECABRES, A.; PIRES, J.A.A.; SILVA-DEL-RÍO, N. </w:t>
      </w:r>
      <w:r>
        <w:rPr>
          <w:rFonts w:cs="Arial" w:ascii="Arial" w:hAnsi="Arial"/>
          <w:sz w:val="22"/>
          <w:szCs w:val="22"/>
          <w:lang w:eastAsia="pt-BR"/>
        </w:rPr>
        <w:t xml:space="preserve">Cow-level factors associated with subclinical hypocalcemia at calving in multiparous Jersey cows. </w:t>
      </w:r>
      <w:r>
        <w:rPr>
          <w:rFonts w:cs="Arial" w:ascii="Arial" w:hAnsi="Arial"/>
          <w:b/>
          <w:sz w:val="22"/>
          <w:szCs w:val="22"/>
        </w:rPr>
        <w:t>Journal Dairy Science</w:t>
      </w:r>
      <w:r>
        <w:rPr>
          <w:rFonts w:cs="Arial" w:ascii="Arial" w:hAnsi="Arial"/>
          <w:sz w:val="22"/>
          <w:szCs w:val="22"/>
          <w:lang w:eastAsia="pt-BR"/>
        </w:rPr>
        <w:t xml:space="preserve">, v.102, n.9, p.8367–8375, 2019. DOI: </w:t>
      </w:r>
      <w:hyperlink r:id="rId10" w:tgtFrame="Persistent link using digital object identifier">
        <w:r>
          <w:rPr>
            <w:rStyle w:val="Semestilodocaractere"/>
            <w:rFonts w:eastAsia="Times New Roman" w:cs="Arial" w:ascii="Arial" w:hAnsi="Arial"/>
            <w:sz w:val="22"/>
            <w:szCs w:val="22"/>
          </w:rPr>
          <w:t>https://doi.org/10.3168/jds.2018-16180</w:t>
        </w:r>
      </w:hyperlink>
      <w:r>
        <w:rPr>
          <w:rFonts w:eastAsia="Times New Roman" w:cs="Arial" w:ascii="Arial" w:hAnsi="Arial"/>
          <w:sz w:val="22"/>
          <w:szCs w:val="22"/>
        </w:rPr>
        <w:t>.</w:t>
      </w:r>
    </w:p>
    <w:p>
      <w:pPr>
        <w:pStyle w:val="LOnormal"/>
        <w:jc w:val="both"/>
        <w:rPr>
          <w:rFonts w:ascii="Arial" w:hAnsi="Arial" w:cs="Arial"/>
          <w:color w:val="000000"/>
          <w:sz w:val="22"/>
          <w:szCs w:val="22"/>
          <w:u w:val="none"/>
        </w:rPr>
      </w:pPr>
      <w:r>
        <w:rPr>
          <w:rFonts w:cs="Arial" w:ascii="Arial" w:hAnsi="Arial"/>
          <w:color w:val="000000"/>
          <w:sz w:val="22"/>
          <w:szCs w:val="22"/>
          <w:u w:val="none"/>
        </w:rPr>
      </w:r>
    </w:p>
    <w:p>
      <w:pPr>
        <w:pStyle w:val="Normal"/>
        <w:jc w:val="both"/>
        <w:rPr/>
      </w:pPr>
      <w:r>
        <w:rPr>
          <w:rFonts w:cs="Arial" w:ascii="Arial" w:hAnsi="Arial"/>
          <w:sz w:val="22"/>
          <w:szCs w:val="22"/>
          <w:lang w:eastAsia="pt-BR"/>
        </w:rPr>
        <w:t xml:space="preserve">VALLDECABRES, A.; SILVA-DEL-RÍO, N. Association of low sérum calcium concentration after calving with productive and reproductive performance in multiparous Jersey cows. </w:t>
      </w:r>
      <w:r>
        <w:rPr>
          <w:rFonts w:cs="Arial" w:ascii="Arial" w:hAnsi="Arial"/>
          <w:b/>
          <w:sz w:val="22"/>
          <w:szCs w:val="22"/>
          <w:lang w:eastAsia="pt-BR"/>
        </w:rPr>
        <w:t>Journal of Dairy Science,</w:t>
      </w:r>
      <w:r>
        <w:rPr>
          <w:rFonts w:cs="Arial" w:ascii="Arial" w:hAnsi="Arial"/>
          <w:sz w:val="22"/>
          <w:szCs w:val="22"/>
          <w:lang w:eastAsia="pt-BR"/>
        </w:rPr>
        <w:t xml:space="preserve"> n.104, v.11, p.11983-11994, 2021. DOI: </w:t>
      </w:r>
      <w:hyperlink r:id="rId11" w:tgtFrame="Persistent link using digital object identifier">
        <w:r>
          <w:rPr>
            <w:rStyle w:val="Semestilodocaractere"/>
            <w:rFonts w:eastAsia="Times New Roman" w:cs="Arial" w:ascii="Arial" w:hAnsi="Arial"/>
            <w:sz w:val="22"/>
            <w:szCs w:val="22"/>
          </w:rPr>
          <w:t>https://doi.org/10.3168/jds.2020-19527</w:t>
        </w:r>
      </w:hyperlink>
      <w:r>
        <w:rPr>
          <w:rFonts w:eastAsia="Times New Roman" w:cs="Arial" w:ascii="Arial" w:hAnsi="Arial"/>
          <w:sz w:val="22"/>
          <w:szCs w:val="22"/>
        </w:rPr>
        <w:t>.</w:t>
      </w:r>
    </w:p>
    <w:p>
      <w:pPr>
        <w:pStyle w:val="Normal"/>
        <w:jc w:val="both"/>
        <w:rPr>
          <w:rFonts w:ascii="Arial" w:hAnsi="Arial" w:cs="Arial"/>
          <w:sz w:val="22"/>
          <w:szCs w:val="22"/>
          <w:lang w:eastAsia="pt-BR"/>
        </w:rPr>
      </w:pPr>
      <w:r>
        <w:rPr>
          <w:rFonts w:cs="Arial" w:ascii="Arial" w:hAnsi="Arial"/>
          <w:sz w:val="22"/>
          <w:szCs w:val="22"/>
          <w:lang w:eastAsia="pt-BR"/>
        </w:rPr>
      </w:r>
    </w:p>
    <w:p>
      <w:pPr>
        <w:pStyle w:val="Normal"/>
        <w:jc w:val="both"/>
        <w:rPr/>
      </w:pPr>
      <w:r>
        <w:rPr>
          <w:rFonts w:cs="Arial" w:ascii="Arial" w:hAnsi="Arial"/>
          <w:sz w:val="22"/>
          <w:szCs w:val="22"/>
        </w:rPr>
        <w:t xml:space="preserve">WILHELM, A.L.; MAQUIVAR, M.G.; BAS, S.; BRICK, T.A.; WEISS, W.P.; BOTHE, H.; VELEZ, J.S.; SCHUENEMANN, G.M. Effect of serum calcium status at calving on survival, health, and performance of postpartum Holstein cows and calves under certified organic management. </w:t>
      </w:r>
      <w:r>
        <w:rPr>
          <w:rFonts w:cs="Arial" w:ascii="Arial" w:hAnsi="Arial"/>
          <w:b/>
          <w:sz w:val="22"/>
          <w:szCs w:val="22"/>
          <w:lang w:eastAsia="pt-BR"/>
        </w:rPr>
        <w:t>Journal of Dairy Science</w:t>
      </w:r>
      <w:r>
        <w:rPr>
          <w:rFonts w:cs="Arial" w:ascii="Arial" w:hAnsi="Arial"/>
          <w:sz w:val="22"/>
          <w:szCs w:val="22"/>
        </w:rPr>
        <w:t xml:space="preserve">, v.100, n.4, p.3059–3067, 2017. DOI: </w:t>
      </w:r>
      <w:hyperlink r:id="rId12" w:tgtFrame="Persistent link using digital object identifier">
        <w:r>
          <w:rPr>
            <w:rStyle w:val="Semestilodocaractere"/>
            <w:rFonts w:eastAsia="Times New Roman" w:cs="Arial" w:ascii="Arial" w:hAnsi="Arial"/>
            <w:sz w:val="22"/>
            <w:szCs w:val="22"/>
          </w:rPr>
          <w:t>https://doi.org/10.3168/jds.2016-11743</w:t>
        </w:r>
      </w:hyperlink>
      <w:r>
        <w:rPr>
          <w:rFonts w:eastAsia="Times New Roman" w:cs="Arial" w:ascii="Arial" w:hAnsi="Arial"/>
          <w:sz w:val="22"/>
          <w:szCs w:val="22"/>
        </w:rPr>
        <w:t>.</w:t>
      </w:r>
    </w:p>
    <w:sectPr>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ucida Grande">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 w:name="Calibri">
    <w:charset w:val="00"/>
    <w:family w:val="roman"/>
    <w:pitch w:val="variable"/>
  </w:font>
</w:fonts>
</file>

<file path=word/settings.xml><?xml version="1.0" encoding="utf-8"?>
<w:settings xmlns:w="http://schemas.openxmlformats.org/wordprocessingml/2006/main">
  <w:zoom w:percent="132"/>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en-US" w:bidi="ar-SA"/>
      </w:rPr>
    </w:rPrDefault>
    <w:pPrDefault>
      <w:pPr>
        <w:suppressAutoHyphens w:val="true"/>
      </w:pPr>
    </w:pPrDefault>
  </w:docDefaults>
  <w:style w:type="paragraph" w:styleId="Normal">
    <w:name w:val="Normal"/>
    <w:qFormat/>
    <w:pPr>
      <w:widowControl/>
      <w:pBdr/>
      <w:suppressAutoHyphens w:val="false"/>
      <w:kinsoku w:val="true"/>
      <w:overflowPunct w:val="true"/>
      <w:autoSpaceDE w:val="tru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name w:val="Default Paragraph Font"/>
    <w:qFormat/>
    <w:rPr/>
  </w:style>
  <w:style w:type="character" w:styleId="LinkdaInternet">
    <w:name w:val="Link da Internet"/>
    <w:rPr>
      <w:u w:val="single"/>
    </w:rPr>
  </w:style>
  <w:style w:type="character" w:styleId="BalloonTextChar">
    <w:name w:val="Balloon Text Char"/>
    <w:basedOn w:val="DefaultParagraphFont"/>
    <w:link w:val="BalloonText"/>
    <w:qFormat/>
    <w:rPr>
      <w:rFonts w:ascii="Lucida Grande" w:hAnsi="Lucida Grande"/>
      <w:sz w:val="18"/>
      <w:szCs w:val="18"/>
      <w:lang w:val="en-US"/>
    </w:rPr>
  </w:style>
  <w:style w:type="character" w:styleId="HeaderChar">
    <w:name w:val="Header Char"/>
    <w:basedOn w:val="DefaultParagraphFont"/>
    <w:qFormat/>
    <w:rPr>
      <w:sz w:val="24"/>
      <w:szCs w:val="24"/>
      <w:lang w:val="en-US"/>
    </w:rPr>
  </w:style>
  <w:style w:type="character" w:styleId="FooterChar">
    <w:name w:val="Footer Char"/>
    <w:basedOn w:val="DefaultParagraphFont"/>
    <w:qFormat/>
    <w:rPr>
      <w:sz w:val="24"/>
      <w:szCs w:val="24"/>
      <w:lang w:val="en-US"/>
    </w:rPr>
  </w:style>
  <w:style w:type="character" w:styleId="Y2iqfc">
    <w:name w:val="y2iqfc"/>
    <w:qFormat/>
    <w:rPr/>
  </w:style>
  <w:style w:type="character" w:styleId="Anchortext">
    <w:name w:val="anchor-text"/>
    <w:basedOn w:val="DefaultParagraphFont"/>
    <w:qFormat/>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link w:val="Annotationtext"/>
    <w:qFormat/>
    <w:rPr>
      <w:lang w:val="en-US"/>
    </w:rPr>
  </w:style>
  <w:style w:type="character" w:styleId="CommentSubjectChar">
    <w:name w:val="Comment Subject Char"/>
    <w:basedOn w:val="CommentTextChar"/>
    <w:link w:val="Annotationsubject"/>
    <w:qFormat/>
    <w:rPr>
      <w:b/>
      <w:bCs/>
      <w:lang w:val="en-US"/>
    </w:rPr>
  </w:style>
  <w:style w:type="character" w:styleId="PlaceholderText">
    <w:name w:val="Placeholder Text"/>
    <w:basedOn w:val="DefaultParagraphFont"/>
    <w:qFormat/>
    <w:rPr>
      <w:color w:val="80808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name w:val="LO-normal"/>
    <w:qFormat/>
    <w:pPr>
      <w:widowControl/>
      <w:pBdr/>
      <w:suppressAutoHyphens w:val="true"/>
      <w:kinsoku w:val="true"/>
      <w:overflowPunct w:val="true"/>
      <w:autoSpaceDE w:val="true"/>
      <w:bidi w:val="0"/>
      <w:spacing w:before="0" w:after="0"/>
      <w:jc w:val="left"/>
    </w:pPr>
    <w:rPr>
      <w:rFonts w:ascii="Cambria" w:hAnsi="Cambria" w:cs="Arial Unicode MS" w:eastAsia="Arial Unicode MS"/>
      <w:color w:val="00000A"/>
      <w:kern w:val="0"/>
      <w:sz w:val="24"/>
      <w:szCs w:val="24"/>
      <w:u w:val="none"/>
      <w:lang w:val="en-US" w:eastAsia="en-US" w:bidi="ar-SA"/>
    </w:rPr>
  </w:style>
  <w:style w:type="paragraph" w:styleId="CabealhoeRodap">
    <w:name w:val="Cabeçalho e Rodapé"/>
    <w:qFormat/>
    <w:pPr>
      <w:widowControl/>
      <w:pBdr/>
      <w:tabs>
        <w:tab w:val="clear" w:pos="720"/>
        <w:tab w:val="right" w:pos="9020" w:leader="none"/>
      </w:tabs>
      <w:kinsoku w:val="true"/>
      <w:overflowPunct w:val="true"/>
      <w:autoSpaceDE w:val="true"/>
      <w:bidi w:val="0"/>
      <w:spacing w:before="0" w:after="0"/>
      <w:jc w:val="left"/>
    </w:pPr>
    <w:rPr>
      <w:rFonts w:ascii="Helvetica Neue" w:hAnsi="Helvetica Neue" w:cs="Arial Unicode MS" w:eastAsia="Arial Unicode MS"/>
      <w:color w:val="000000"/>
      <w:kern w:val="0"/>
      <w:sz w:val="24"/>
      <w:szCs w:val="24"/>
      <w:lang w:val="pt-BR" w:eastAsia="en-US" w:bidi="ar-SA"/>
    </w:rPr>
  </w:style>
  <w:style w:type="paragraph" w:styleId="BalloonText">
    <w:name w:val="Balloon Text"/>
    <w:basedOn w:val="Normal"/>
    <w:link w:val="BalloonTextChar"/>
    <w:qFormat/>
    <w:pPr/>
    <w:rPr>
      <w:rFonts w:ascii="Lucida Grande" w:hAnsi="Lucida Grande"/>
      <w:sz w:val="18"/>
      <w:szCs w:val="18"/>
    </w:rPr>
  </w:style>
  <w:style w:type="paragraph" w:styleId="Cabealho">
    <w:name w:val="Header"/>
    <w:basedOn w:val="Normal"/>
    <w:link w:val="HeaderChar"/>
    <w:pPr>
      <w:tabs>
        <w:tab w:val="clear" w:pos="720"/>
        <w:tab w:val="center" w:pos="4320" w:leader="none"/>
        <w:tab w:val="right" w:pos="8640" w:leader="none"/>
      </w:tabs>
    </w:pPr>
    <w:rPr/>
  </w:style>
  <w:style w:type="paragraph" w:styleId="Rodap">
    <w:name w:val="Footer"/>
    <w:basedOn w:val="Normal"/>
    <w:link w:val="FooterChar"/>
    <w:pPr>
      <w:tabs>
        <w:tab w:val="clear" w:pos="720"/>
        <w:tab w:val="center" w:pos="4320" w:leader="none"/>
        <w:tab w:val="right" w:pos="8640" w:leader="none"/>
      </w:tabs>
    </w:pPr>
    <w:rPr/>
  </w:style>
  <w:style w:type="paragraph" w:styleId="Default">
    <w:name w:val="Default"/>
    <w:qFormat/>
    <w:pPr>
      <w:widowControl/>
      <w:pBdr/>
      <w:suppressAutoHyphens w:val="true"/>
      <w:kinsoku w:val="true"/>
      <w:overflowPunct w:val="true"/>
      <w:autoSpaceDE w:val="true"/>
      <w:bidi w:val="0"/>
      <w:spacing w:before="0" w:after="0"/>
      <w:jc w:val="left"/>
    </w:pPr>
    <w:rPr>
      <w:rFonts w:ascii="Arial" w:hAnsi="Arial" w:eastAsia="Times New Roman" w:cs="Arial"/>
      <w:color w:val="000000"/>
      <w:kern w:val="0"/>
      <w:sz w:val="24"/>
      <w:szCs w:val="24"/>
      <w:lang w:eastAsia="zh-CN" w:val="pt-BR" w:bidi="ar-SA"/>
    </w:rPr>
  </w:style>
  <w:style w:type="paragraph" w:styleId="Annotationtext">
    <w:name w:val="annotation text"/>
    <w:basedOn w:val="Normal"/>
    <w:link w:val="CommentTextChar"/>
    <w:qFormat/>
    <w:pPr/>
    <w:rPr>
      <w:sz w:val="20"/>
      <w:szCs w:val="20"/>
    </w:rPr>
  </w:style>
  <w:style w:type="paragraph" w:styleId="Annotationsubject">
    <w:name w:val="annotation subject"/>
    <w:basedOn w:val="Annotationtext"/>
    <w:next w:val="Annotationtext"/>
    <w:link w:val="CommentSubjectChar"/>
    <w:qFormat/>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hyperlink" Target="https://doi.org/10.1016/S0749-0720(15)30108-0" TargetMode="External"/><Relationship Id="rId7" Type="http://schemas.openxmlformats.org/officeDocument/2006/relationships/hyperlink" Target="https://doi.org/10.3168/jds.2020-19189" TargetMode="External"/><Relationship Id="rId8" Type="http://schemas.openxmlformats.org/officeDocument/2006/relationships/hyperlink" Target="https://doi.org/10.3168/jds.2019-17705" TargetMode="External"/><Relationship Id="rId9" Type="http://schemas.openxmlformats.org/officeDocument/2006/relationships/hyperlink" Target="https://doi.org/10.3168/jds.2020-19344" TargetMode="External"/><Relationship Id="rId10" Type="http://schemas.openxmlformats.org/officeDocument/2006/relationships/hyperlink" Target="https://doi.org/10.3168/jds.2018-16180" TargetMode="External"/><Relationship Id="rId11" Type="http://schemas.openxmlformats.org/officeDocument/2006/relationships/hyperlink" Target="https://doi.org/10.3168/jds.2020-19527" TargetMode="External"/><Relationship Id="rId12" Type="http://schemas.openxmlformats.org/officeDocument/2006/relationships/hyperlink" Target="https://doi.org/10.3168/jds.2016-1174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364</TotalTime>
  <Application>LibreOffice/7.3.2.2$Windows_X86_64 LibreOffice_project/49f2b1bff42cfccbd8f788c8dc32c1c309559be0</Application>
  <AppVersion>15.0000</AppVersion>
  <Pages>4</Pages>
  <Words>1391</Words>
  <Characters>8115</Characters>
  <CharactersWithSpaces>9491</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2023-09-08T16:39:00Z</dcterms:created>
  <dc:creator/>
  <dc:description/>
  <dc:language>pt-BR</dc:language>
  <cp:lastModifiedBy>Pietra</cp:lastModifiedBy>
  <dcterms:modified xsi:type="dcterms:W3CDTF">2023-10-01T12:19:00Z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file>