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"/>
        <w:spacing w:lineRule="auto" w:line="276"/>
        <w:jc w:val="center"/>
        <w:rPr>
          <w:lang w:val="pt-BR"/>
        </w:rPr>
      </w:pPr>
      <w:r>
        <w:drawing>
          <wp:anchor behindDoc="0" distT="152400" distB="152400" distL="152400" distR="152400" simplePos="0" locked="0" layoutInCell="0" allowOverlap="1" relativeHeight="3">
            <wp:simplePos x="0" y="0"/>
            <wp:positionH relativeFrom="page">
              <wp:posOffset>-54610</wp:posOffset>
            </wp:positionH>
            <wp:positionV relativeFrom="page">
              <wp:posOffset>-64770</wp:posOffset>
            </wp:positionV>
            <wp:extent cx="7674610" cy="1289685"/>
            <wp:effectExtent l="0" t="0" r="0" b="0"/>
            <wp:wrapTopAndBottom/>
            <wp:docPr id="1" name="officeArt object" descr="Cabeçalho SBSS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fficeArt object" descr="Cabeçalho SBSS-02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4610" cy="1289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bCs/>
          <w:color w:val="000000"/>
          <w:sz w:val="28"/>
          <w:szCs w:val="28"/>
          <w:u w:val="none" w:color="000000"/>
          <w:lang w:val="pt-BR"/>
        </w:rPr>
        <w:t>PERITONITE DIFUSA POR PERFUROCORTANTE NO ABOMASO: RELATO DE CASO</w:t>
      </w:r>
    </w:p>
    <w:p>
      <w:pPr>
        <w:pStyle w:val="LOnormal"/>
        <w:jc w:val="center"/>
        <w:rPr>
          <w:rFonts w:ascii="Arial" w:hAnsi="Arial"/>
          <w:color w:val="000000"/>
          <w:sz w:val="20"/>
          <w:szCs w:val="20"/>
          <w:u w:val="single"/>
          <w:lang w:val="pt-BR"/>
        </w:rPr>
      </w:pPr>
      <w:r>
        <w:rPr>
          <w:rFonts w:ascii="Arial" w:hAnsi="Arial"/>
          <w:color w:val="000000"/>
          <w:sz w:val="20"/>
          <w:szCs w:val="20"/>
          <w:u w:val="single" w:color="00000A"/>
          <w:lang w:val="pt-BR"/>
        </w:rPr>
      </w:r>
    </w:p>
    <w:p>
      <w:pPr>
        <w:pStyle w:val="LOnormal"/>
        <w:jc w:val="center"/>
        <w:rPr>
          <w:rFonts w:ascii="Arial" w:hAnsi="Arial" w:cs="Arial"/>
          <w:color w:val="000000"/>
          <w:sz w:val="20"/>
          <w:szCs w:val="20"/>
          <w:u w:val="none" w:color="000000"/>
          <w:lang w:val="pt-BR"/>
        </w:rPr>
      </w:pPr>
      <w:r>
        <w:rPr>
          <w:rFonts w:cs="Arial" w:ascii="Arial" w:hAnsi="Arial"/>
          <w:color w:val="000000"/>
          <w:sz w:val="20"/>
          <w:szCs w:val="20"/>
          <w:u w:val="single"/>
          <w:lang w:val="pt-BR"/>
        </w:rPr>
        <w:t>Anabell Negherbon</w:t>
      </w:r>
      <w:r>
        <w:rPr>
          <w:rFonts w:cs="Arial" w:ascii="Arial" w:hAnsi="Arial"/>
          <w:color w:val="000000"/>
          <w:sz w:val="20"/>
          <w:szCs w:val="20"/>
          <w:u w:val="none" w:color="000000"/>
          <w:vertAlign w:val="superscript"/>
          <w:lang w:val="pt-BR"/>
        </w:rPr>
        <w:t>1</w:t>
      </w:r>
      <w:r>
        <w:rPr>
          <w:rFonts w:cs="Arial" w:ascii="Arial" w:hAnsi="Arial"/>
          <w:color w:val="000000"/>
          <w:sz w:val="20"/>
          <w:szCs w:val="20"/>
          <w:u w:val="none" w:color="000000"/>
          <w:lang w:val="pt-BR"/>
        </w:rPr>
        <w:t>, Elizabeth Schwegler</w:t>
      </w:r>
      <w:r>
        <w:rPr>
          <w:rFonts w:cs="Arial" w:ascii="Arial" w:hAnsi="Arial"/>
          <w:color w:val="000000"/>
          <w:sz w:val="20"/>
          <w:szCs w:val="20"/>
          <w:u w:val="none" w:color="000000"/>
          <w:vertAlign w:val="superscript"/>
          <w:lang w:val="pt-BR"/>
        </w:rPr>
        <w:t>1</w:t>
      </w:r>
      <w:r>
        <w:rPr>
          <w:rFonts w:cs="Arial" w:ascii="Arial" w:hAnsi="Arial"/>
          <w:color w:val="000000"/>
          <w:sz w:val="20"/>
          <w:szCs w:val="20"/>
          <w:u w:val="none" w:color="000000"/>
          <w:lang w:val="pt-BR"/>
        </w:rPr>
        <w:t>, Izaú Cardoso Lopes</w:t>
      </w:r>
      <w:r>
        <w:rPr>
          <w:rFonts w:cs="Arial" w:ascii="Arial" w:hAnsi="Arial"/>
          <w:color w:val="000000"/>
          <w:sz w:val="20"/>
          <w:szCs w:val="20"/>
          <w:u w:val="none" w:color="000000"/>
          <w:vertAlign w:val="superscript"/>
          <w:lang w:val="pt-BR"/>
        </w:rPr>
        <w:t>1</w:t>
      </w:r>
      <w:r>
        <w:rPr>
          <w:rFonts w:cs="Arial" w:ascii="Arial" w:hAnsi="Arial"/>
          <w:color w:val="000000"/>
          <w:sz w:val="20"/>
          <w:szCs w:val="20"/>
          <w:u w:val="none" w:color="000000"/>
          <w:lang w:val="pt-BR"/>
        </w:rPr>
        <w:t>, Juliano Santos Gueretz</w:t>
      </w:r>
      <w:r>
        <w:rPr>
          <w:rFonts w:cs="Arial" w:ascii="Arial" w:hAnsi="Arial"/>
          <w:color w:val="000000"/>
          <w:sz w:val="20"/>
          <w:szCs w:val="20"/>
          <w:u w:val="none" w:color="000000"/>
          <w:vertAlign w:val="superscript"/>
          <w:lang w:val="pt-BR"/>
        </w:rPr>
        <w:t>1</w:t>
      </w:r>
      <w:r>
        <w:rPr>
          <w:rFonts w:cs="Arial" w:ascii="Arial" w:hAnsi="Arial"/>
          <w:color w:val="000000"/>
          <w:sz w:val="20"/>
          <w:szCs w:val="20"/>
          <w:u w:val="none" w:color="000000"/>
          <w:lang w:val="pt-BR"/>
        </w:rPr>
        <w:t>, Luiz Felipe Pereira Ramos</w:t>
      </w:r>
      <w:r>
        <w:rPr>
          <w:rFonts w:cs="Arial" w:ascii="Arial" w:hAnsi="Arial"/>
          <w:color w:val="000000"/>
          <w:sz w:val="20"/>
          <w:szCs w:val="20"/>
          <w:u w:val="none" w:color="000000"/>
          <w:vertAlign w:val="superscript"/>
          <w:lang w:val="pt-BR"/>
        </w:rPr>
        <w:t>1</w:t>
      </w:r>
      <w:r>
        <w:rPr>
          <w:rFonts w:cs="Arial" w:ascii="Arial" w:hAnsi="Arial"/>
          <w:color w:val="000000"/>
          <w:sz w:val="20"/>
          <w:szCs w:val="20"/>
          <w:u w:val="none" w:color="000000"/>
          <w:lang w:val="pt-BR"/>
        </w:rPr>
        <w:t>, Raquel de Souza Lemos de Oliveira</w:t>
      </w:r>
      <w:r>
        <w:rPr>
          <w:rFonts w:cs="Arial" w:ascii="Arial" w:hAnsi="Arial"/>
          <w:color w:val="000000"/>
          <w:sz w:val="20"/>
          <w:szCs w:val="20"/>
          <w:u w:val="none" w:color="000000"/>
          <w:vertAlign w:val="superscript"/>
          <w:lang w:val="pt-BR"/>
        </w:rPr>
        <w:t>1</w:t>
      </w:r>
      <w:r>
        <w:rPr>
          <w:rFonts w:cs="Arial" w:ascii="Arial" w:hAnsi="Arial"/>
          <w:color w:val="000000"/>
          <w:sz w:val="20"/>
          <w:szCs w:val="20"/>
          <w:u w:val="none" w:color="000000"/>
          <w:lang w:val="pt-BR"/>
        </w:rPr>
        <w:t>, Renata Krainz</w:t>
      </w:r>
      <w:r>
        <w:rPr>
          <w:rFonts w:cs="Arial" w:ascii="Arial" w:hAnsi="Arial"/>
          <w:color w:val="000000"/>
          <w:sz w:val="20"/>
          <w:szCs w:val="20"/>
          <w:u w:val="none" w:color="000000"/>
          <w:vertAlign w:val="superscript"/>
          <w:lang w:val="pt-BR"/>
        </w:rPr>
        <w:t>1</w:t>
      </w:r>
    </w:p>
    <w:p>
      <w:pPr>
        <w:pStyle w:val="LOnormal"/>
        <w:rPr>
          <w:rFonts w:ascii="Arial" w:hAnsi="Arial" w:eastAsia="Arial" w:cs="Arial"/>
          <w:color w:val="000000"/>
          <w:sz w:val="20"/>
          <w:szCs w:val="20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0"/>
          <w:szCs w:val="20"/>
          <w:u w:val="none" w:color="000000"/>
          <w:lang w:val="pt-BR"/>
        </w:rPr>
      </w:r>
    </w:p>
    <w:p>
      <w:pPr>
        <w:pStyle w:val="LOnormal"/>
        <w:jc w:val="center"/>
        <w:rPr>
          <w:rFonts w:ascii="Arial" w:hAnsi="Arial" w:cs="Arial"/>
          <w:color w:val="000000"/>
          <w:sz w:val="20"/>
          <w:szCs w:val="20"/>
          <w:u w:val="none" w:color="000000"/>
          <w:lang w:val="pt-BR"/>
        </w:rPr>
      </w:pPr>
      <w:r>
        <w:rPr>
          <w:rFonts w:cs="Arial" w:ascii="Arial" w:hAnsi="Arial"/>
          <w:color w:val="000000"/>
          <w:sz w:val="20"/>
          <w:szCs w:val="20"/>
          <w:u w:val="none" w:color="000000"/>
          <w:vertAlign w:val="superscript"/>
          <w:lang w:val="pt-BR"/>
        </w:rPr>
        <w:t>1</w:t>
      </w:r>
      <w:r>
        <w:rPr>
          <w:rFonts w:cs="Arial" w:ascii="Arial" w:hAnsi="Arial"/>
          <w:color w:val="000000"/>
          <w:sz w:val="20"/>
          <w:szCs w:val="20"/>
          <w:u w:val="none" w:color="000000"/>
          <w:lang w:val="pt-BR"/>
        </w:rPr>
        <w:t xml:space="preserve"> Instituto Federal Catarinense – </w:t>
      </w:r>
      <w:r>
        <w:rPr>
          <w:rFonts w:cs="Arial" w:ascii="Arial" w:hAnsi="Arial"/>
          <w:i/>
          <w:iCs/>
          <w:color w:val="000000"/>
          <w:sz w:val="20"/>
          <w:szCs w:val="20"/>
          <w:u w:val="none" w:color="000000"/>
          <w:lang w:val="pt-BR"/>
        </w:rPr>
        <w:t>Campus</w:t>
      </w:r>
      <w:r>
        <w:rPr>
          <w:rFonts w:cs="Arial" w:ascii="Arial" w:hAnsi="Arial"/>
          <w:color w:val="000000"/>
          <w:sz w:val="20"/>
          <w:szCs w:val="20"/>
          <w:u w:val="none" w:color="000000"/>
          <w:lang w:val="pt-BR"/>
        </w:rPr>
        <w:t xml:space="preserve"> Araquari</w:t>
      </w:r>
    </w:p>
    <w:p>
      <w:pPr>
        <w:pStyle w:val="LOnormal"/>
        <w:jc w:val="center"/>
        <w:rPr>
          <w:rFonts w:ascii="Arial" w:hAnsi="Arial" w:cs="Arial"/>
          <w:color w:val="000000"/>
          <w:sz w:val="20"/>
          <w:szCs w:val="20"/>
          <w:u w:val="none" w:color="000000"/>
          <w:lang w:val="pt-BR"/>
        </w:rPr>
      </w:pPr>
      <w:r>
        <w:rPr>
          <w:rFonts w:cs="Arial" w:ascii="Arial" w:hAnsi="Arial"/>
          <w:color w:val="000000"/>
          <w:sz w:val="20"/>
          <w:szCs w:val="20"/>
          <w:u w:val="none" w:color="000000"/>
          <w:lang w:val="pt-BR"/>
        </w:rPr>
      </w:r>
    </w:p>
    <w:p>
      <w:pPr>
        <w:pStyle w:val="LOnormal"/>
        <w:jc w:val="center"/>
        <w:rPr>
          <w:rFonts w:ascii="Arial" w:hAnsi="Arial" w:eastAsia="Arial" w:cs="Arial"/>
          <w:color w:val="000000"/>
          <w:sz w:val="20"/>
          <w:szCs w:val="20"/>
          <w:u w:val="none" w:color="000000"/>
          <w:lang w:val="pt-BR"/>
        </w:rPr>
      </w:pPr>
      <w:r>
        <w:rPr>
          <w:rFonts w:cs="Arial" w:ascii="Arial" w:hAnsi="Arial"/>
          <w:color w:val="000000"/>
          <w:sz w:val="20"/>
          <w:szCs w:val="20"/>
          <w:u w:val="none" w:color="000000"/>
          <w:lang w:val="pt-BR"/>
        </w:rPr>
        <w:t xml:space="preserve">E-mail: </w:t>
      </w:r>
      <w:hyperlink r:id="rId3">
        <w:r>
          <w:rPr>
            <w:rStyle w:val="LinkdaInternet"/>
            <w:rFonts w:cs="Arial" w:ascii="Arial" w:hAnsi="Arial"/>
            <w:sz w:val="20"/>
            <w:szCs w:val="20"/>
            <w:u w:val="none"/>
            <w:lang w:val="pt-BR"/>
          </w:rPr>
          <w:t>anabellnegherbon@gmail.com</w:t>
        </w:r>
      </w:hyperlink>
      <w:r>
        <w:rPr>
          <w:rFonts w:eastAsia="Arial" w:cs="Arial" w:ascii="Arial" w:hAnsi="Arial"/>
          <w:color w:val="000000"/>
          <w:sz w:val="20"/>
          <w:szCs w:val="20"/>
          <w:u w:val="none" w:color="000000"/>
          <w:lang w:val="pt-BR"/>
        </w:rPr>
        <w:t xml:space="preserve"> </w:t>
      </w:r>
    </w:p>
    <w:p>
      <w:pPr>
        <w:pStyle w:val="LOnormal"/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>Contribuição para a sociedade: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 Relatos de peritonite traumática devido a corpos perfurocortantes ingeridos acidentalmente pelas vacas é algo comum na criação de bovinos, principalmente aqueles que tem acesso a pasto. Em sua maioria, a primeira região a ser afetada é o retículo, não coincidentemente a primeira cavidade do estômago dos poligástricos, onde o corpo estranho que chega com o bolo alimentar se aloja e realiza a lesão. Nesse relato o objeto de perfuração que causou grave peritonite e levou o animal a eutanásia não foi encontrado no retículo e sim no abomaso, último compartimento do estômago das vacas, algo totalmente incomum e até o momento não localizado na literatura. </w:t>
      </w:r>
    </w:p>
    <w:p>
      <w:pPr>
        <w:pStyle w:val="LOnormal"/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>Palavras-chave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>: lesão, ingestão, corpo estranho.</w:t>
      </w:r>
    </w:p>
    <w:p>
      <w:pPr>
        <w:pStyle w:val="LOnormal"/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>Descrição do caso:</w:t>
      </w: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  <w:t xml:space="preserve"> 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O caso ocorreu na fazenda escola do Instituto Federal Catarinense –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Campus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 Araquari, na Unidade de Ensino e Aprendizagem de Gado Leiteiro. No dia 03 de outubro de 2022 a vaca de nome Zuca, plurípara, 10 anos de idade, com cerca de 700 kg, escore de condição corporal 3 e da raça Holandês apresentou queda abrupta na produção leiteira e diarreia profusa, sem histórico compatível de alguma enfermidade oriundas de manejo nutricional. Devido ao animal estar um bom tempo sem receber antiparasitário optou-se em utilizar Toltrazurila e Nitroxinil, pelo conhecimento das afecções mais recorrentes da propriedade. No dia seguinte, a produção permaneceu baixa, ainda havia presença de diarreia e o agravante de inapetência, a vaca possuía total desinteresse tanto na fração concentrada, quanto volumosa da dieta. Neste dia, durante o exame clínico foi constatado baixa motilidade ruminal e sinais compatíveis com dor abdominal como coiceamento excessivo no próprio abdômen e relutância ao caminhar. Diante desses achados clínicos a Dexametasona foi adicionada ao tratamento por dois dias. Seis dias após (10 de outubro) o animal parou de se alimentar novamente e foi verificado a grande perda de condição corporal, que no momento estava 2, além disso retornou a apresentar diarreia e a mucosa da conjuntiva estava pálida. O exame de fezes deu zero (OPG - Ovos Por Grama) e foi realizado um exame de micro hematócrito, sendo o resultado de 18% de eritrócitos circulantes. Diante dos sinais compatíveis com Tristeza Parasitaria Bovina, foi administrado Diaceturato de Diminazeno e Oxitetraciclina. Pelo retorno da dor intensa retornou-se com a Dexametasona. Todos os sinais clínicos continuaram persistindo e no dia 17 de outubro percebeu-se que o animal rangia os dentes e olhava de forma demasiada para o flanco direito. Foi realizado o procedimento de paracentese na região ventral do abdômen, para verificar a aparência do líquido peritoneal, que no momento se encontrava límpido e sem alterações visuais. Porém, pela ausência de melhora clínica e todos os sinais observados, foi realizado um exame de ultrassonografia tóraco-abdominal bilateral para confirmar a suspeita de retículo pericardite traumática. No exame ultrassonográfico foi observado a presença de material com alta ecogenicidade na região ventro-torácica no lado esquerdo, indicativo de corpo estranho, que possivelmente se tratava de um material metálico. Devido a esse artefato avistado na ultrassonografia, associado ao coiceamento no abdômen direito, optou-se por realizar o procedimento cirúrgico de Laparotomia exploratória bilateral e Rumenotomia. A técnica de anestesia local em L invertido foi utilizada nos flancos direito e esquerdo para anestesia, duas incisões verticais de cerca de 20 centímetros foram feitas, uma em cada lado da região do vazio. Antes de acessar a cavidade ruminal foi verificado uma discreta peritonite difusa devido a presença de fibrina e sutil aderência dos órgãos. Logo após, o rúmen foi acessado, retirando todo o conteúdo ruminal da cavidade a fim de identificar o objeto avistado no ultrassom, porém o único material suspeito encontrado foi um fio de cerca elétrica de nylon que possuía material metálico entremeado, sendo essa imagem compatível com o achado do exame. No flanco direito o abomaso chegou a ser palpado externamente, porém não foi localizado nada anormal no momento. Após a cirurgia a vaca apresentou </w:t>
      </w:r>
      <w:r>
        <w:drawing>
          <wp:anchor behindDoc="0" distT="152400" distB="152400" distL="152400" distR="152400" simplePos="0" locked="0" layoutInCell="0" allowOverlap="1" relativeHeight="4">
            <wp:simplePos x="0" y="0"/>
            <wp:positionH relativeFrom="page">
              <wp:posOffset>-95885</wp:posOffset>
            </wp:positionH>
            <wp:positionV relativeFrom="page">
              <wp:posOffset>-74295</wp:posOffset>
            </wp:positionV>
            <wp:extent cx="7674610" cy="1289685"/>
            <wp:effectExtent l="0" t="0" r="0" b="0"/>
            <wp:wrapTopAndBottom/>
            <wp:docPr id="2" name="Imagem 1954182179" descr="Cabeçalho SBSS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1954182179" descr="Cabeçalho SBSS-0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4610" cy="1289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>discreta melhora ao longo de 3 dias, porém logo depois o quadro clínico retornou a piorar com anorexia e decúbito prolongado. Devido a dor severa e visando o bem-estar animal no dia 21 de outubro foi optado por realizar a eutanásia com uso de fármacos sedativos e em seguida deu-se início à necropsia pela veterinária responsável pelo paciente. No exame post mortem a vaca</w:t>
      </w:r>
      <w:r>
        <w:rPr>
          <w:rFonts w:cs="Arial" w:ascii="Arial" w:hAnsi="Arial"/>
          <w:color w:val="000000"/>
          <w:sz w:val="22"/>
          <w:szCs w:val="22"/>
          <w:shd w:fill="FFFFFF" w:val="clear"/>
          <w:lang w:val="pt-BR"/>
        </w:rPr>
        <w:t xml:space="preserve"> não apresentava alterações no sistema tegumentar, nervoso, urogenital e locomotor. Não havia alterações no rúmen, retículo e omaso, porém durante inspeção do abomaso foram encontradas diversas pedras de cerca de 2cm de diâmetro e um arame de 3,5 cm na região do piloro. As pedras são consideradas um achado rotineiro em ruminantes, porém o arame é algo totalmente incomum. Os perfurocortantes geralmente não chegam a passar do rúmen, ficando alojados no retículo e causando a reticuloperitonite que dependendo da forma como o objeto está posicionado pode evoluir para reticulopericardite, pleurite e sepse. No sistema circulatório foi observado presença de fibrina externamente ao pericárdio, o que pode ser indicativo de septicemia. No sistema respiratório o trato superior estava sem alterações, porém no trato inferior o pulmão apresentou áreas enfisematosas e congestas que podem ser pelo longo tempo de decúbito da vaca nos últimos dias.</w:t>
      </w:r>
    </w:p>
    <w:p>
      <w:pPr>
        <w:pStyle w:val="LOnormal"/>
        <w:jc w:val="both"/>
        <w:rPr>
          <w:rFonts w:ascii="Arial" w:hAnsi="Arial"/>
          <w:b/>
          <w:b/>
          <w:bCs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keepNext w:val="true"/>
        <w:jc w:val="center"/>
        <w:rPr>
          <w:lang w:val="pt-BR"/>
        </w:rPr>
      </w:pPr>
      <w:r>
        <w:rPr/>
        <w:drawing>
          <wp:inline distT="0" distB="0" distL="0" distR="0">
            <wp:extent cx="2350135" cy="2032635"/>
            <wp:effectExtent l="0" t="0" r="0" b="0"/>
            <wp:docPr id="3" name="Imagem 1" descr="Uma imagem contendo pessoa, comida, mesa, pra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1" descr="Uma imagem contendo pessoa, comida, mesa, prato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9192" t="32655" r="11382" b="318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135" cy="203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ption"/>
        <w:jc w:val="both"/>
        <w:rPr>
          <w:rFonts w:ascii="Arial" w:hAnsi="Arial" w:cs="Arial"/>
          <w:i w:val="false"/>
          <w:i w:val="false"/>
          <w:iCs w:val="false"/>
          <w:color w:val="auto"/>
          <w:sz w:val="28"/>
          <w:szCs w:val="28"/>
          <w:u w:val="none" w:color="000000"/>
        </w:rPr>
      </w:pPr>
      <w:r>
        <w:rPr>
          <w:rFonts w:cs="Arial" w:ascii="Arial" w:hAnsi="Arial"/>
          <w:i w:val="false"/>
          <w:iCs w:val="false"/>
          <w:color w:val="auto"/>
          <w:sz w:val="22"/>
          <w:szCs w:val="22"/>
        </w:rPr>
        <w:t xml:space="preserve">Figura </w:t>
      </w:r>
      <w:r>
        <w:rPr>
          <w:rFonts w:cs="Arial" w:ascii="Arial" w:hAnsi="Arial"/>
          <w:i w:val="false"/>
          <w:iCs w:val="false"/>
          <w:color w:val="auto"/>
          <w:sz w:val="22"/>
          <w:szCs w:val="22"/>
        </w:rPr>
        <w:fldChar w:fldCharType="begin"/>
      </w:r>
      <w:r>
        <w:rPr>
          <w:sz w:val="22"/>
          <w:i w:val="false"/>
          <w:szCs w:val="22"/>
          <w:iCs w:val="false"/>
          <w:rFonts w:cs="Arial" w:ascii="Arial" w:hAnsi="Arial"/>
          <w:color w:val="auto"/>
        </w:rPr>
        <w:instrText xml:space="preserve"> SEQ Figura \* ARABIC </w:instrText>
      </w:r>
      <w:r>
        <w:rPr>
          <w:sz w:val="22"/>
          <w:i w:val="false"/>
          <w:szCs w:val="22"/>
          <w:iCs w:val="false"/>
          <w:rFonts w:cs="Arial" w:ascii="Arial" w:hAnsi="Arial"/>
          <w:color w:val="auto"/>
        </w:rPr>
        <w:fldChar w:fldCharType="separate"/>
      </w:r>
      <w:r>
        <w:rPr>
          <w:sz w:val="22"/>
          <w:i w:val="false"/>
          <w:szCs w:val="22"/>
          <w:iCs w:val="false"/>
          <w:rFonts w:cs="Arial" w:ascii="Arial" w:hAnsi="Arial"/>
          <w:color w:val="auto"/>
        </w:rPr>
        <w:t>1</w:t>
      </w:r>
      <w:r>
        <w:rPr>
          <w:sz w:val="22"/>
          <w:i w:val="false"/>
          <w:szCs w:val="22"/>
          <w:iCs w:val="false"/>
          <w:rFonts w:cs="Arial" w:ascii="Arial" w:hAnsi="Arial"/>
          <w:color w:val="auto"/>
        </w:rPr>
        <w:fldChar w:fldCharType="end"/>
      </w:r>
      <w:r>
        <w:rPr>
          <w:rFonts w:cs="Arial" w:ascii="Arial" w:hAnsi="Arial"/>
          <w:i w:val="false"/>
          <w:iCs w:val="false"/>
          <w:color w:val="auto"/>
          <w:sz w:val="22"/>
          <w:szCs w:val="22"/>
        </w:rPr>
        <w:t>. Objetos perfurocortantes encontrados no abomaso, nota-se um arame na porção direita</w:t>
      </w:r>
    </w:p>
    <w:p>
      <w:pPr>
        <w:pStyle w:val="LOnormal"/>
        <w:jc w:val="both"/>
        <w:rPr>
          <w:rFonts w:ascii="Arial" w:hAnsi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 xml:space="preserve">Resultados: </w:t>
      </w:r>
      <w:r>
        <w:rPr>
          <w:rFonts w:cs="Arial" w:ascii="Arial" w:hAnsi="Arial"/>
          <w:color w:val="000000"/>
          <w:sz w:val="22"/>
          <w:szCs w:val="22"/>
          <w:u w:val="none" w:color="000000"/>
          <w:lang w:val="pt-BR"/>
        </w:rPr>
        <w:t xml:space="preserve">O hábito alimentar pouco seletivo dos bovinos os torna mais suscetíveis à ingestão acidental de perfurocortantes presentes na pastagem (Omid &amp; </w:t>
      </w:r>
      <w:r>
        <w:rPr>
          <w:rFonts w:cs="Arial" w:ascii="Arial" w:hAnsi="Arial"/>
          <w:sz w:val="22"/>
          <w:szCs w:val="22"/>
          <w:lang w:val="pt-BR"/>
        </w:rPr>
        <w:t>Mozaffari,</w:t>
      </w:r>
      <w:r>
        <w:rPr>
          <w:sz w:val="22"/>
          <w:szCs w:val="22"/>
          <w:lang w:val="pt-BR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u w:val="none" w:color="000000"/>
          <w:lang w:val="pt-BR"/>
        </w:rPr>
        <w:t>2014) como pregos, arames e pedras. Infelizmente a ingestão de corpos estanhos é algo comum na criação de vacas leiteiras ao redor do mundo (DOMINGUES et al, 2020), levando a inflamação do pericárdio, peritônio, pleura e podendo levar à sepse, tendo como sinais clínicos mais relatados a queda do escore de condição corporal, letargia e inapetência (</w:t>
      </w:r>
      <w:r>
        <w:rPr>
          <w:rFonts w:cs="Arial" w:ascii="Arial" w:hAnsi="Arial"/>
          <w:sz w:val="22"/>
          <w:szCs w:val="22"/>
          <w:lang w:val="pt-BR"/>
        </w:rPr>
        <w:t>Miesner &amp; Reppert,</w:t>
      </w:r>
      <w:r>
        <w:rPr>
          <w:rFonts w:cs="Arial" w:ascii="Arial" w:hAnsi="Arial"/>
          <w:sz w:val="20"/>
          <w:szCs w:val="20"/>
          <w:lang w:val="pt-BR"/>
        </w:rPr>
        <w:t xml:space="preserve"> </w:t>
      </w:r>
      <w:r>
        <w:rPr>
          <w:rFonts w:cs="Arial" w:ascii="Arial" w:hAnsi="Arial"/>
          <w:sz w:val="22"/>
          <w:szCs w:val="22"/>
          <w:lang w:val="pt-BR"/>
        </w:rPr>
        <w:t>2017). O</w:t>
      </w:r>
      <w:r>
        <w:rPr>
          <w:rFonts w:cs="Arial" w:ascii="Arial" w:hAnsi="Arial"/>
          <w:color w:val="000000"/>
          <w:sz w:val="22"/>
          <w:szCs w:val="22"/>
          <w:u w:val="none" w:color="000000"/>
          <w:lang w:val="pt-BR"/>
        </w:rPr>
        <w:t xml:space="preserve"> abomaso é a última cavidade do estomago dos ruminantes, portanto quando o animal ingere algo que possa vir a lhe causar lesões no trato gastrointestinal, o objeto fere logo os primeiros compartimentos, tais quais rúmen e retículo, sendo o segundo o mais comum. A localização inicial, a característica “favo de mel” e a motilidade ruminal favorecem a fixação do corpo estranho no retículo (Omid &amp; </w:t>
      </w:r>
      <w:r>
        <w:rPr>
          <w:rFonts w:cs="Arial" w:ascii="Arial" w:hAnsi="Arial"/>
          <w:sz w:val="22"/>
          <w:szCs w:val="22"/>
          <w:lang w:val="pt-BR"/>
        </w:rPr>
        <w:t xml:space="preserve">Mozaffari, </w:t>
      </w:r>
      <w:r>
        <w:rPr>
          <w:rFonts w:cs="Arial" w:ascii="Arial" w:hAnsi="Arial"/>
          <w:color w:val="000000"/>
          <w:sz w:val="22"/>
          <w:szCs w:val="22"/>
          <w:u w:val="none" w:color="000000"/>
          <w:lang w:val="pt-BR"/>
        </w:rPr>
        <w:t xml:space="preserve">2014), causando reticulo peritonite. Deve ser levado em consideração para este achado incomum, a permanência na fase adulta de uma leve persistência do sulco esofágico oriundo da fase lactente quando bezerro. Por meio do sulco ou também chamada goteira esofágica </w:t>
      </w:r>
      <w:r>
        <w:rPr>
          <w:rFonts w:cs="Arial" w:ascii="Arial" w:hAnsi="Arial"/>
          <w:sz w:val="22"/>
          <w:szCs w:val="22"/>
          <w:lang w:val="pt-BR"/>
        </w:rPr>
        <w:t>o</w:t>
      </w:r>
      <w:r>
        <w:rPr>
          <w:rFonts w:cs="Arial" w:ascii="Arial" w:hAnsi="Arial"/>
          <w:color w:val="000000"/>
          <w:sz w:val="22"/>
          <w:szCs w:val="22"/>
          <w:u w:val="none" w:color="000000"/>
          <w:lang w:val="pt-BR"/>
        </w:rPr>
        <w:t xml:space="preserve"> leite vai diretamente para o estômago químico do animal, com a introdução da alimentação sólida com volumoso e concentrado a goteira fecha e se tem um significativo desenvolvimento do </w:t>
      </w:r>
      <w:r>
        <w:rPr>
          <w:rFonts w:cs="Arial" w:ascii="Arial" w:hAnsi="Arial"/>
          <w:sz w:val="22"/>
          <w:szCs w:val="22"/>
          <w:lang w:val="pt-BR"/>
        </w:rPr>
        <w:t>rúmen, retículo e omaso</w:t>
      </w:r>
      <w:r>
        <w:rPr>
          <w:rFonts w:cs="Arial" w:ascii="Arial" w:hAnsi="Arial"/>
          <w:color w:val="000000"/>
          <w:sz w:val="22"/>
          <w:szCs w:val="22"/>
          <w:u w:val="none" w:color="000000"/>
          <w:lang w:val="pt-BR"/>
        </w:rPr>
        <w:t xml:space="preserve"> (</w:t>
      </w:r>
      <w:r>
        <w:rPr>
          <w:rFonts w:cs="Arial" w:ascii="Arial" w:hAnsi="Arial"/>
          <w:sz w:val="22"/>
          <w:szCs w:val="22"/>
          <w:lang w:val="pt-BR"/>
        </w:rPr>
        <w:t xml:space="preserve">KABA et al, </w:t>
      </w:r>
      <w:r>
        <w:rPr>
          <w:rFonts w:cs="Arial" w:ascii="Arial" w:hAnsi="Arial"/>
          <w:color w:val="auto"/>
          <w:sz w:val="22"/>
          <w:szCs w:val="22"/>
          <w:lang w:val="pt-BR"/>
        </w:rPr>
        <w:t>2018</w:t>
      </w:r>
      <w:r>
        <w:rPr>
          <w:rFonts w:cs="Arial" w:ascii="Arial" w:hAnsi="Arial"/>
          <w:sz w:val="22"/>
          <w:szCs w:val="22"/>
          <w:lang w:val="pt-BR"/>
        </w:rPr>
        <w:t>), onde o bezerro se torna um ruminante de fato. Sabe-se que o sulco esofágico é funcional em bovinos adultos saudáveis (DANIEL et al, 2007). Woodford et al. (1984) confirmaram essa hipótese utilizando vacas holandesas lactantes que foram submetidas a 9 e 4,5h de jejum hídrico onde a porcentagem de água “</w:t>
      </w:r>
      <w:r>
        <w:rPr>
          <w:rFonts w:cs="Arial" w:ascii="Arial" w:hAnsi="Arial"/>
          <w:i/>
          <w:iCs/>
          <w:sz w:val="22"/>
          <w:szCs w:val="22"/>
          <w:lang w:val="pt-BR"/>
        </w:rPr>
        <w:t>by pass</w:t>
      </w:r>
      <w:r>
        <w:rPr>
          <w:rFonts w:cs="Arial" w:ascii="Arial" w:hAnsi="Arial"/>
          <w:sz w:val="22"/>
          <w:szCs w:val="22"/>
          <w:lang w:val="pt-BR"/>
        </w:rPr>
        <w:t>” (desvio da água diretamente para o abomaso) foi de 5 % e 18 %, respectivamente.</w:t>
      </w:r>
    </w:p>
    <w:p>
      <w:pPr>
        <w:pStyle w:val="LOnormal"/>
        <w:jc w:val="both"/>
        <w:rPr>
          <w:rFonts w:ascii="Arial" w:hAnsi="Arial"/>
          <w:b/>
          <w:b/>
          <w:bCs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/>
          <w:b/>
          <w:b/>
          <w:bCs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 xml:space="preserve">Conclusão: 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>Mesmo sendo incomum, não podemos descartar a presença de perfuro cortante na região do abomaso, devido estudos comprovarem a funcionalidade da goteira esofágica mesmo após a fase lactente do animal.</w:t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b/>
          <w:bCs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color w:val="000000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>Agradecimento: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 aos professores e todos os alunos que participaram do caso e a vaca Zuca, que permaneceu 10 anos sendo a vaca mais produtiva do rebanho participando na educação profissional </w:t>
      </w:r>
    </w:p>
    <w:p>
      <w:pPr>
        <w:pStyle w:val="LOnormal"/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/>
          <w:color w:val="000000"/>
          <w:sz w:val="22"/>
          <w:szCs w:val="22"/>
          <w:u w:val="none" w:color="000000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</w:rPr>
        <w:t>Referências:</w:t>
      </w:r>
    </w:p>
    <w:p>
      <w:pPr>
        <w:pStyle w:val="LOnormal"/>
        <w:ind w:right="284" w:hanging="0"/>
        <w:jc w:val="both"/>
        <w:rPr>
          <w:rFonts w:ascii="Arial" w:hAnsi="Arial" w:cs="Arial"/>
          <w:color w:val="222222"/>
          <w:sz w:val="22"/>
          <w:szCs w:val="22"/>
          <w:shd w:fill="FFFFFF" w:val="clear"/>
        </w:rPr>
      </w:pPr>
      <w:r>
        <w:rPr>
          <w:rFonts w:cs="Arial" w:ascii="Arial" w:hAnsi="Arial"/>
          <w:color w:val="222222"/>
          <w:sz w:val="22"/>
          <w:szCs w:val="22"/>
          <w:shd w:fill="FFFFFF" w:val="clear"/>
        </w:rPr>
      </w:r>
    </w:p>
    <w:p>
      <w:pPr>
        <w:pStyle w:val="LOnormal"/>
        <w:ind w:right="284" w:hanging="0"/>
        <w:jc w:val="both"/>
        <w:rPr>
          <w:rFonts w:ascii="Arial" w:hAnsi="Arial" w:cs="Arial"/>
          <w:color w:val="auto"/>
          <w:sz w:val="22"/>
          <w:szCs w:val="22"/>
          <w:shd w:fill="FFFFFF" w:val="clear"/>
        </w:rPr>
      </w:pPr>
      <w:r>
        <w:rPr>
          <w:rFonts w:cs="Arial" w:ascii="Arial" w:hAnsi="Arial"/>
          <w:color w:val="000000"/>
          <w:sz w:val="22"/>
          <w:szCs w:val="22"/>
          <w:shd w:fill="FFFFFF" w:val="clear"/>
          <w:lang w:val="pt-BR"/>
        </w:rPr>
        <w:t>DANIEL, João Luiz Pratti; RESENDE JÚNIOR, João Chrysostomo de; MELO, Leandra Queiroz de; SOUZA, Rooveth Luis Melo de; GUERRERO, Mario César. Funcionalidade do sulco do retículo em bovinos adultos e avaliação de técnicas alternativas para preparação, infusão e coleta de marcadores da fase fluida ruminal. </w:t>
      </w:r>
      <w:r>
        <w:rPr>
          <w:rStyle w:val="Strong"/>
          <w:rFonts w:cs="Arial" w:ascii="Arial" w:hAnsi="Arial"/>
          <w:color w:val="000000"/>
          <w:sz w:val="22"/>
          <w:szCs w:val="22"/>
          <w:shd w:fill="FFFFFF" w:val="clear"/>
          <w:lang w:val="pt-BR"/>
        </w:rPr>
        <w:t>Ciência e Agrotecnologia</w:t>
      </w:r>
      <w:r>
        <w:rPr>
          <w:rFonts w:cs="Arial" w:ascii="Arial" w:hAnsi="Arial"/>
          <w:color w:val="000000"/>
          <w:sz w:val="22"/>
          <w:szCs w:val="22"/>
          <w:shd w:fill="FFFFFF" w:val="clear"/>
          <w:lang w:val="pt-BR"/>
        </w:rPr>
        <w:t xml:space="preserve">, [S.L.], v. 31, n. 6, p. 1850-1856, dez. 2007. FapUNIFESP (SciELO). </w:t>
      </w:r>
      <w:hyperlink r:id="rId6">
        <w:r>
          <w:rPr>
            <w:rStyle w:val="LinkdaInternet"/>
            <w:rFonts w:cs="Arial" w:ascii="Arial" w:hAnsi="Arial"/>
            <w:color w:val="000000"/>
            <w:sz w:val="22"/>
            <w:szCs w:val="22"/>
            <w:shd w:fill="FFFFFF" w:val="clear"/>
          </w:rPr>
          <w:t>http://dx.doi.org/10.1590/s1413-70542007000600037</w:t>
        </w:r>
      </w:hyperlink>
      <w:r>
        <w:rPr>
          <w:rFonts w:cs="Arial" w:ascii="Arial" w:hAnsi="Arial"/>
          <w:color w:val="000000"/>
          <w:sz w:val="22"/>
          <w:szCs w:val="22"/>
          <w:shd w:fill="FFFFFF" w:val="clear"/>
        </w:rPr>
        <w:t xml:space="preserve">. </w:t>
      </w:r>
    </w:p>
    <w:p>
      <w:pPr>
        <w:pStyle w:val="LOnormal"/>
        <w:ind w:right="284" w:hanging="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</w:r>
    </w:p>
    <w:p>
      <w:pPr>
        <w:pStyle w:val="LOnormal"/>
        <w:jc w:val="both"/>
        <w:rPr>
          <w:rFonts w:ascii="Arial" w:hAnsi="Arial" w:cs="Arial"/>
          <w:color w:val="auto"/>
          <w:sz w:val="22"/>
          <w:szCs w:val="22"/>
          <w:shd w:fill="FFFFFF" w:val="clear"/>
          <w:lang w:val="pt-BR"/>
        </w:rPr>
      </w:pPr>
      <w:r>
        <w:rPr>
          <w:rFonts w:cs="Arial" w:ascii="Arial" w:hAnsi="Arial"/>
          <w:color w:val="000000"/>
          <w:sz w:val="22"/>
          <w:szCs w:val="22"/>
          <w:shd w:fill="FFFFFF" w:val="clear"/>
        </w:rPr>
        <w:t>DOMINGUES, Joana; HAYES, Ciara J; LEARY, John Mark O; DAVIES, Daniel; RYAN, Eoin Gerard. Foreign body removal by standing thoracotomy in a dairy cow. </w:t>
      </w:r>
      <w:r>
        <w:rPr>
          <w:rStyle w:val="Strong"/>
          <w:rFonts w:cs="Arial" w:ascii="Arial" w:hAnsi="Arial"/>
          <w:color w:val="000000"/>
          <w:sz w:val="22"/>
          <w:szCs w:val="22"/>
          <w:shd w:fill="FFFFFF" w:val="clear"/>
        </w:rPr>
        <w:t>Veterinary Record Case Reports</w:t>
      </w:r>
      <w:r>
        <w:rPr>
          <w:rFonts w:cs="Arial" w:ascii="Arial" w:hAnsi="Arial"/>
          <w:color w:val="000000"/>
          <w:sz w:val="22"/>
          <w:szCs w:val="22"/>
          <w:shd w:fill="FFFFFF" w:val="clear"/>
        </w:rPr>
        <w:t xml:space="preserve">, [S.L.], v. 8, n. 3, p. 1-7, set. 2020. </w:t>
      </w:r>
      <w:r>
        <w:rPr>
          <w:rFonts w:cs="Arial" w:ascii="Arial" w:hAnsi="Arial"/>
          <w:color w:val="000000"/>
          <w:sz w:val="22"/>
          <w:szCs w:val="22"/>
          <w:shd w:fill="FFFFFF" w:val="clear"/>
          <w:lang w:val="pt-BR"/>
        </w:rPr>
        <w:t xml:space="preserve">Wiley. </w:t>
      </w:r>
      <w:hyperlink r:id="rId7">
        <w:r>
          <w:rPr>
            <w:rStyle w:val="LinkdaInternet"/>
            <w:rFonts w:cs="Arial" w:ascii="Arial" w:hAnsi="Arial"/>
            <w:color w:val="000000"/>
            <w:sz w:val="22"/>
            <w:szCs w:val="22"/>
            <w:shd w:fill="FFFFFF" w:val="clear"/>
            <w:lang w:val="pt-BR"/>
          </w:rPr>
          <w:t>http://dx.doi.org/10.1136/vetreccr-2020-001112</w:t>
        </w:r>
      </w:hyperlink>
      <w:r>
        <w:rPr>
          <w:rFonts w:cs="Arial" w:ascii="Arial" w:hAnsi="Arial"/>
          <w:color w:val="000000"/>
          <w:sz w:val="22"/>
          <w:szCs w:val="22"/>
          <w:shd w:fill="FFFFFF" w:val="clear"/>
          <w:lang w:val="pt-BR"/>
        </w:rPr>
        <w:t>.</w:t>
      </w:r>
    </w:p>
    <w:p>
      <w:pPr>
        <w:pStyle w:val="LOnormal"/>
        <w:jc w:val="both"/>
        <w:rPr>
          <w:rFonts w:ascii="Arial" w:hAnsi="Arial" w:cs="Arial"/>
          <w:color w:val="auto"/>
          <w:sz w:val="22"/>
          <w:szCs w:val="22"/>
          <w:shd w:fill="FFFFFF" w:val="clear"/>
          <w:lang w:val="pt-BR"/>
        </w:rPr>
      </w:pPr>
      <w:r>
        <w:rPr>
          <w:rFonts w:cs="Arial" w:ascii="Arial" w:hAnsi="Arial"/>
          <w:color w:val="000000"/>
          <w:sz w:val="22"/>
          <w:szCs w:val="22"/>
          <w:shd w:fill="FFFFFF" w:val="clear"/>
          <w:lang w:val="pt-BR"/>
        </w:rPr>
      </w:r>
    </w:p>
    <w:p>
      <w:pPr>
        <w:pStyle w:val="LOnormal"/>
        <w:jc w:val="both"/>
        <w:rPr>
          <w:rFonts w:ascii="Arial" w:hAnsi="Arial" w:cs="Arial"/>
          <w:color w:val="auto"/>
          <w:sz w:val="22"/>
          <w:szCs w:val="22"/>
          <w:shd w:fill="FFFFFF" w:val="clear"/>
        </w:rPr>
      </w:pPr>
      <w:r>
        <w:rPr>
          <w:rFonts w:cs="Arial" w:ascii="Arial" w:hAnsi="Arial"/>
          <w:color w:val="000000"/>
          <w:sz w:val="22"/>
          <w:szCs w:val="22"/>
          <w:shd w:fill="FFFFFF" w:val="clear"/>
          <w:lang w:val="pt-BR"/>
        </w:rPr>
        <w:t xml:space="preserve">KABA, Tamirat; ABERA, Berhanu; KASSA, Temesgen. </w:t>
      </w:r>
      <w:r>
        <w:rPr>
          <w:rFonts w:cs="Arial" w:ascii="Arial" w:hAnsi="Arial"/>
          <w:color w:val="000000"/>
          <w:sz w:val="22"/>
          <w:szCs w:val="22"/>
          <w:shd w:fill="FFFFFF" w:val="clear"/>
        </w:rPr>
        <w:t>Esophageal groove dysfunction: a cause of ruminal bloat in newborn calves. </w:t>
      </w:r>
      <w:r>
        <w:rPr>
          <w:rStyle w:val="Strong"/>
          <w:rFonts w:cs="Arial" w:ascii="Arial" w:hAnsi="Arial"/>
          <w:color w:val="000000"/>
          <w:sz w:val="22"/>
          <w:szCs w:val="22"/>
          <w:shd w:fill="FFFFFF" w:val="clear"/>
        </w:rPr>
        <w:t>Bmc Veterinary Research</w:t>
      </w:r>
      <w:r>
        <w:rPr>
          <w:rFonts w:cs="Arial" w:ascii="Arial" w:hAnsi="Arial"/>
          <w:color w:val="000000"/>
          <w:sz w:val="22"/>
          <w:szCs w:val="22"/>
          <w:shd w:fill="FFFFFF" w:val="clear"/>
        </w:rPr>
        <w:t xml:space="preserve">, [S.L.], v. 14, n. 1, p. 2-5, 10 set. 2018. Springer Science and Business Media LLC. </w:t>
      </w:r>
      <w:hyperlink r:id="rId8">
        <w:r>
          <w:rPr>
            <w:rStyle w:val="LinkdaInternet"/>
            <w:rFonts w:cs="Arial" w:ascii="Arial" w:hAnsi="Arial"/>
            <w:color w:val="000000"/>
            <w:sz w:val="22"/>
            <w:szCs w:val="22"/>
            <w:shd w:fill="FFFFFF" w:val="clear"/>
          </w:rPr>
          <w:t>http://dx.doi.org/10.1186/s12917-018-1573-2</w:t>
        </w:r>
      </w:hyperlink>
      <w:r>
        <w:rPr>
          <w:rFonts w:cs="Arial" w:ascii="Arial" w:hAnsi="Arial"/>
          <w:color w:val="000000"/>
          <w:sz w:val="22"/>
          <w:szCs w:val="22"/>
          <w:shd w:fill="FFFFFF" w:val="clear"/>
        </w:rPr>
        <w:t xml:space="preserve">. </w:t>
      </w:r>
    </w:p>
    <w:p>
      <w:pPr>
        <w:pStyle w:val="LOnormal"/>
        <w:ind w:right="284" w:hanging="0"/>
        <w:jc w:val="both"/>
        <w:rPr>
          <w:rFonts w:ascii="Arial" w:hAnsi="Arial" w:cs="Arial"/>
          <w:color w:val="auto"/>
          <w:sz w:val="22"/>
          <w:szCs w:val="22"/>
          <w:shd w:fill="FFFFFF" w:val="clear"/>
        </w:rPr>
      </w:pPr>
      <w:r>
        <w:rPr>
          <w:rFonts w:cs="Arial" w:ascii="Arial" w:hAnsi="Arial"/>
          <w:color w:val="000000"/>
          <w:sz w:val="22"/>
          <w:szCs w:val="22"/>
          <w:shd w:fill="FFFFFF" w:val="clear"/>
        </w:rPr>
      </w:r>
    </w:p>
    <w:p>
      <w:pPr>
        <w:pStyle w:val="LOnormal"/>
        <w:jc w:val="both"/>
        <w:rPr>
          <w:rFonts w:ascii="Arial" w:hAnsi="Arial" w:cs="Arial"/>
          <w:color w:val="auto"/>
          <w:sz w:val="22"/>
          <w:szCs w:val="22"/>
          <w:shd w:fill="FFFFFF" w:val="clear"/>
        </w:rPr>
      </w:pPr>
      <w:r>
        <w:rPr>
          <w:rFonts w:cs="Arial" w:ascii="Arial" w:hAnsi="Arial"/>
          <w:color w:val="000000"/>
          <w:sz w:val="22"/>
          <w:szCs w:val="22"/>
          <w:shd w:fill="FFFFFF" w:val="clear"/>
        </w:rPr>
        <w:t>MIESNER, Matt D.; REPPERT, Emily J.. Diagnosis and Treatment of Hardware Disease. </w:t>
      </w:r>
      <w:r>
        <w:rPr>
          <w:rStyle w:val="Strong"/>
          <w:rFonts w:cs="Arial" w:ascii="Arial" w:hAnsi="Arial"/>
          <w:color w:val="000000"/>
          <w:sz w:val="22"/>
          <w:szCs w:val="22"/>
          <w:shd w:fill="FFFFFF" w:val="clear"/>
        </w:rPr>
        <w:t>Veterinary Clinics Of North America</w:t>
      </w:r>
      <w:r>
        <w:rPr>
          <w:rFonts w:cs="Arial" w:ascii="Arial" w:hAnsi="Arial"/>
          <w:color w:val="000000"/>
          <w:sz w:val="22"/>
          <w:szCs w:val="22"/>
          <w:shd w:fill="FFFFFF" w:val="clear"/>
        </w:rPr>
        <w:t xml:space="preserve">: Food Animal Practice, [S.L.], v. 33, n. 3, p. 513-523, nov. 2017. Elsevier BV. </w:t>
      </w:r>
      <w:hyperlink r:id="rId9">
        <w:r>
          <w:rPr>
            <w:rStyle w:val="LinkdaInternet"/>
            <w:rFonts w:cs="Arial" w:ascii="Arial" w:hAnsi="Arial"/>
            <w:color w:val="000000"/>
            <w:sz w:val="22"/>
            <w:szCs w:val="22"/>
            <w:shd w:fill="FFFFFF" w:val="clear"/>
          </w:rPr>
          <w:t>http://dx.doi.org/10.1016/j.cvfa.2017.06.007</w:t>
        </w:r>
      </w:hyperlink>
      <w:r>
        <w:rPr>
          <w:rFonts w:cs="Arial" w:ascii="Arial" w:hAnsi="Arial"/>
          <w:color w:val="000000"/>
          <w:sz w:val="22"/>
          <w:szCs w:val="22"/>
          <w:shd w:fill="FFFFFF" w:val="clear"/>
        </w:rPr>
        <w:t>.</w:t>
      </w:r>
    </w:p>
    <w:p>
      <w:pPr>
        <w:pStyle w:val="LOnormal"/>
        <w:jc w:val="both"/>
        <w:rPr>
          <w:rFonts w:ascii="Arial" w:hAnsi="Arial" w:cs="Arial"/>
          <w:color w:val="auto"/>
          <w:sz w:val="22"/>
          <w:szCs w:val="22"/>
          <w:shd w:fill="FFFFFF" w:val="clear"/>
        </w:rPr>
      </w:pPr>
      <w:r>
        <w:rPr>
          <w:rFonts w:cs="Arial" w:ascii="Arial" w:hAnsi="Arial"/>
          <w:color w:val="000000"/>
          <w:sz w:val="22"/>
          <w:szCs w:val="22"/>
          <w:shd w:fill="FFFFFF" w:val="clear"/>
        </w:rPr>
      </w:r>
    </w:p>
    <w:p>
      <w:pPr>
        <w:pStyle w:val="LOnormal"/>
        <w:jc w:val="both"/>
        <w:rPr>
          <w:rFonts w:ascii="Arial" w:hAnsi="Arial" w:cs="Arial"/>
          <w:color w:val="auto"/>
          <w:sz w:val="22"/>
          <w:szCs w:val="22"/>
          <w:shd w:fill="FFFFFF" w:val="clear"/>
        </w:rPr>
      </w:pPr>
      <w:r>
        <w:rPr>
          <w:rFonts w:cs="Arial" w:ascii="Arial" w:hAnsi="Arial"/>
          <w:color w:val="000000"/>
          <w:sz w:val="22"/>
          <w:szCs w:val="22"/>
          <w:shd w:fill="FFFFFF" w:val="clear"/>
        </w:rPr>
        <w:t>OMID, Azari; MOZAFFARI, Ali Asghar. Reticulo-cutaneous fistula due to the ingestion of a long metallic rod in a cow. </w:t>
      </w:r>
      <w:r>
        <w:rPr>
          <w:rStyle w:val="Strong"/>
          <w:rFonts w:cs="Arial" w:ascii="Arial" w:hAnsi="Arial"/>
          <w:color w:val="000000"/>
          <w:sz w:val="22"/>
          <w:szCs w:val="22"/>
          <w:shd w:fill="FFFFFF" w:val="clear"/>
        </w:rPr>
        <w:t>Asian Pacific Journal Of Tropical Biomedicine</w:t>
      </w:r>
      <w:r>
        <w:rPr>
          <w:rFonts w:cs="Arial" w:ascii="Arial" w:hAnsi="Arial"/>
          <w:color w:val="000000"/>
          <w:sz w:val="22"/>
          <w:szCs w:val="22"/>
          <w:shd w:fill="FFFFFF" w:val="clear"/>
        </w:rPr>
        <w:t xml:space="preserve">, [S.L.], v. 4, n. 7, p. 586-588, jul. 2014. Medknow. </w:t>
      </w:r>
      <w:hyperlink r:id="rId10">
        <w:r>
          <w:rPr>
            <w:rStyle w:val="LinkdaInternet"/>
            <w:rFonts w:cs="Arial" w:ascii="Arial" w:hAnsi="Arial"/>
            <w:sz w:val="22"/>
            <w:szCs w:val="22"/>
            <w:shd w:fill="FFFFFF" w:val="clear"/>
          </w:rPr>
          <w:t>http://dx.doi.org/10.12980/apjtb.4.2014b102</w:t>
        </w:r>
      </w:hyperlink>
      <w:r>
        <w:rPr>
          <w:rFonts w:cs="Arial" w:ascii="Arial" w:hAnsi="Arial"/>
          <w:color w:val="000000"/>
          <w:sz w:val="22"/>
          <w:szCs w:val="22"/>
          <w:shd w:fill="FFFFFF" w:val="clear"/>
        </w:rPr>
        <w:t xml:space="preserve">.  </w:t>
      </w:r>
    </w:p>
    <w:p>
      <w:pPr>
        <w:pStyle w:val="LOnormal"/>
        <w:jc w:val="both"/>
        <w:rPr>
          <w:rFonts w:ascii="Arial" w:hAnsi="Arial" w:cs="Arial"/>
          <w:color w:val="auto"/>
          <w:sz w:val="22"/>
          <w:szCs w:val="22"/>
          <w:shd w:fill="FFFFFF" w:val="clear"/>
        </w:rPr>
      </w:pPr>
      <w:r>
        <w:rPr>
          <w:rFonts w:cs="Arial" w:ascii="Arial" w:hAnsi="Arial"/>
          <w:color w:val="000000"/>
          <w:sz w:val="22"/>
          <w:szCs w:val="22"/>
          <w:shd w:fill="FFFFFF" w:val="clear"/>
        </w:rPr>
      </w:r>
    </w:p>
    <w:p>
      <w:pPr>
        <w:pStyle w:val="LOnormal"/>
        <w:jc w:val="both"/>
        <w:rPr>
          <w:rFonts w:ascii="Arial" w:hAnsi="Arial" w:cs="Arial"/>
          <w:color w:val="auto"/>
          <w:sz w:val="22"/>
          <w:szCs w:val="22"/>
          <w:shd w:fill="FFFFFF" w:val="clear"/>
        </w:rPr>
      </w:pPr>
      <w:r>
        <w:rPr>
          <w:rFonts w:cs="Arial" w:ascii="Arial" w:hAnsi="Arial"/>
          <w:color w:val="000000"/>
          <w:sz w:val="22"/>
          <w:szCs w:val="22"/>
          <w:shd w:fill="FFFFFF" w:val="clear"/>
        </w:rPr>
        <w:t>WOODFORD, S.T.; MURPHY, M.R.; DAVIS, C.L.; HOLMES, K.R.. Ruminal Bypass of Drinking Water in Lactating Cows. </w:t>
      </w:r>
      <w:r>
        <w:rPr>
          <w:rStyle w:val="Strong"/>
          <w:rFonts w:cs="Arial" w:ascii="Arial" w:hAnsi="Arial"/>
          <w:color w:val="000000"/>
          <w:sz w:val="22"/>
          <w:szCs w:val="22"/>
          <w:shd w:fill="FFFFFF" w:val="clear"/>
        </w:rPr>
        <w:t>Journal Of Dairy Science</w:t>
      </w:r>
      <w:r>
        <w:rPr>
          <w:rFonts w:cs="Arial" w:ascii="Arial" w:hAnsi="Arial"/>
          <w:color w:val="000000"/>
          <w:sz w:val="22"/>
          <w:szCs w:val="22"/>
          <w:shd w:fill="FFFFFF" w:val="clear"/>
        </w:rPr>
        <w:t xml:space="preserve">, [S.L.], v. 67, n. 10, p. 2471-2474, out. 1984. American Dairy Science Association. </w:t>
      </w:r>
      <w:hyperlink r:id="rId11">
        <w:r>
          <w:rPr>
            <w:rStyle w:val="LinkdaInternet"/>
            <w:rFonts w:cs="Arial" w:ascii="Arial" w:hAnsi="Arial"/>
            <w:color w:val="000000"/>
            <w:sz w:val="22"/>
            <w:szCs w:val="22"/>
            <w:shd w:fill="FFFFFF" w:val="clear"/>
          </w:rPr>
          <w:t>http://dx.doi.org/10.3168/jds.s0022-0302(84)81599-4</w:t>
        </w:r>
      </w:hyperlink>
      <w:r>
        <w:rPr>
          <w:rFonts w:cs="Arial" w:ascii="Arial" w:hAnsi="Arial"/>
          <w:color w:val="000000"/>
          <w:sz w:val="22"/>
          <w:szCs w:val="22"/>
          <w:shd w:fill="FFFFFF" w:val="clear"/>
        </w:rPr>
        <w:t xml:space="preserve">. </w:t>
      </w:r>
    </w:p>
    <w:p>
      <w:pPr>
        <w:pStyle w:val="LOnormal"/>
        <w:jc w:val="both"/>
        <w:rPr>
          <w:rFonts w:ascii="Arial" w:hAnsi="Arial" w:cs="Arial"/>
          <w:color w:val="auto"/>
          <w:sz w:val="22"/>
          <w:szCs w:val="22"/>
          <w:shd w:fill="FFFFFF" w:val="clear"/>
        </w:rPr>
      </w:pPr>
      <w:r>
        <w:rPr>
          <w:rFonts w:cs="Arial" w:ascii="Arial" w:hAnsi="Arial"/>
          <w:color w:val="000000"/>
          <w:sz w:val="22"/>
          <w:szCs w:val="22"/>
          <w:shd w:fill="FFFFFF" w:val="clear"/>
        </w:rPr>
      </w:r>
    </w:p>
    <w:p>
      <w:pPr>
        <w:pStyle w:val="LOnormal"/>
        <w:jc w:val="both"/>
        <w:rPr>
          <w:rFonts w:ascii="Arial" w:hAnsi="Arial" w:cs="Arial"/>
          <w:color w:val="222222"/>
          <w:sz w:val="22"/>
          <w:szCs w:val="22"/>
          <w:shd w:fill="FFFFFF" w:val="clear"/>
        </w:rPr>
      </w:pPr>
      <w:r>
        <w:rPr/>
      </w:r>
    </w:p>
    <w:sectPr>
      <w:headerReference w:type="default" r:id="rId12"/>
      <w:type w:val="nextPage"/>
      <w:pgSz w:w="11906" w:h="16838"/>
      <w:pgMar w:left="1418" w:right="1418" w:gutter="0" w:header="0" w:top="1418" w:footer="0" w:bottom="141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mbria">
    <w:charset w:val="00"/>
    <w:family w:val="roman"/>
    <w:pitch w:val="variable"/>
  </w:font>
  <w:font w:name="Helvetica Neue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rPr>
        <w:lang w:val="pt-BR"/>
      </w:rPr>
    </w:pPr>
    <w:r>
      <w:rPr>
        <w:lang w:val="pt-BR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pBdr/>
      <w:suppressAutoHyphens w:val="false"/>
      <w:bidi w:val="0"/>
      <w:spacing w:before="0" w:after="0"/>
      <w:jc w:val="left"/>
    </w:pPr>
    <w:rPr>
      <w:rFonts w:ascii="Times New Roman" w:hAnsi="Times New Roman" w:eastAsia="Arial Unicode MS" w:cs="Times New Roman"/>
      <w:color w:val="auto"/>
      <w:kern w:val="0"/>
      <w:sz w:val="24"/>
      <w:szCs w:val="24"/>
      <w:lang w:eastAsia="en-US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rPr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8554ad"/>
    <w:rPr>
      <w:color w:val="605E5C"/>
      <w:shd w:fill="E1DFDD" w:val="clear"/>
    </w:rPr>
  </w:style>
  <w:style w:type="character" w:styleId="CabealhoChar" w:customStyle="1">
    <w:name w:val="Cabeçalho Char"/>
    <w:basedOn w:val="DefaultParagraphFont"/>
    <w:uiPriority w:val="99"/>
    <w:qFormat/>
    <w:rsid w:val="000641e3"/>
    <w:rPr>
      <w:sz w:val="24"/>
      <w:szCs w:val="24"/>
      <w:lang w:eastAsia="en-US"/>
    </w:rPr>
  </w:style>
  <w:style w:type="character" w:styleId="RodapChar" w:customStyle="1">
    <w:name w:val="Rodapé Char"/>
    <w:basedOn w:val="DefaultParagraphFont"/>
    <w:uiPriority w:val="99"/>
    <w:qFormat/>
    <w:rsid w:val="000641e3"/>
    <w:rPr>
      <w:sz w:val="24"/>
      <w:szCs w:val="24"/>
      <w:lang w:eastAsia="en-US"/>
    </w:rPr>
  </w:style>
  <w:style w:type="character" w:styleId="Nfase">
    <w:name w:val="Ênfase"/>
    <w:basedOn w:val="DefaultParagraphFont"/>
    <w:uiPriority w:val="20"/>
    <w:qFormat/>
    <w:rsid w:val="008d62bc"/>
    <w:rPr>
      <w:i/>
      <w:iCs/>
    </w:rPr>
  </w:style>
  <w:style w:type="character" w:styleId="Strong">
    <w:name w:val="Strong"/>
    <w:basedOn w:val="DefaultParagraphFont"/>
    <w:uiPriority w:val="22"/>
    <w:qFormat/>
    <w:rsid w:val="008d62bc"/>
    <w:rPr>
      <w:b/>
      <w:b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a60fe5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Annotationtext"/>
    <w:uiPriority w:val="99"/>
    <w:qFormat/>
    <w:rsid w:val="00a60fe5"/>
    <w:rPr>
      <w:lang w:eastAsia="en-US"/>
    </w:rPr>
  </w:style>
  <w:style w:type="character" w:styleId="AssuntodocomentrioChar" w:customStyle="1">
    <w:name w:val="Assunto do comentário Char"/>
    <w:basedOn w:val="TextodecomentrioChar"/>
    <w:link w:val="Annotationsubject"/>
    <w:uiPriority w:val="99"/>
    <w:semiHidden/>
    <w:qFormat/>
    <w:rsid w:val="00a60fe5"/>
    <w:rPr>
      <w:b/>
      <w:bCs/>
      <w:lang w:eastAsia="en-US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Onormal" w:customStyle="1">
    <w:name w:val="LO-normal"/>
    <w:qFormat/>
    <w:pPr>
      <w:widowControl/>
      <w:pBdr/>
      <w:suppressAutoHyphens w:val="true"/>
      <w:bidi w:val="0"/>
      <w:spacing w:before="0" w:after="0"/>
      <w:jc w:val="left"/>
    </w:pPr>
    <w:rPr>
      <w:rFonts w:ascii="Cambria" w:hAnsi="Cambria" w:cs="Arial Unicode MS" w:eastAsia="Arial Unicode MS"/>
      <w:color w:val="00000A"/>
      <w:kern w:val="0"/>
      <w:sz w:val="24"/>
      <w:szCs w:val="24"/>
      <w:u w:val="none" w:color="00000A"/>
      <w:lang w:val="en-US" w:eastAsia="pt-BR" w:bidi="ar-SA"/>
    </w:rPr>
  </w:style>
  <w:style w:type="paragraph" w:styleId="CabealhoeRodap" w:customStyle="1">
    <w:name w:val="Cabeçalho e Rodapé"/>
    <w:qFormat/>
    <w:pPr>
      <w:widowControl/>
      <w:pBdr/>
      <w:tabs>
        <w:tab w:val="clear" w:pos="720"/>
        <w:tab w:val="right" w:pos="9020" w:leader="none"/>
      </w:tabs>
      <w:bidi w:val="0"/>
      <w:spacing w:before="0" w:after="0"/>
      <w:jc w:val="left"/>
    </w:pPr>
    <w:rPr>
      <w:rFonts w:ascii="Helvetica Neue" w:hAnsi="Helvetica Neue" w:cs="Arial Unicode MS" w:eastAsia="Arial Unicode MS"/>
      <w:color w:val="000000"/>
      <w:kern w:val="0"/>
      <w:sz w:val="24"/>
      <w:szCs w:val="24"/>
      <w:lang w:val="pt-BR" w:eastAsia="pt-BR" w:bidi="ar-SA"/>
    </w:rPr>
  </w:style>
  <w:style w:type="paragraph" w:styleId="Caption">
    <w:name w:val="caption"/>
    <w:basedOn w:val="Normal"/>
    <w:next w:val="Normal"/>
    <w:uiPriority w:val="35"/>
    <w:unhideWhenUsed/>
    <w:qFormat/>
    <w:rsid w:val="00d34207"/>
    <w:pPr>
      <w:spacing w:before="0" w:after="200"/>
    </w:pPr>
    <w:rPr>
      <w:i/>
      <w:iCs/>
      <w:color w:val="A7A7A7" w:themeColor="text2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0641e3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0641e3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Annotationtext">
    <w:name w:val="annotation text"/>
    <w:basedOn w:val="Normal"/>
    <w:link w:val="TextodecomentrioChar"/>
    <w:uiPriority w:val="99"/>
    <w:unhideWhenUsed/>
    <w:qFormat/>
    <w:rsid w:val="00a60fe5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a60fe5"/>
    <w:pPr/>
    <w:rPr>
      <w:b/>
      <w:bCs/>
    </w:rPr>
  </w:style>
  <w:style w:type="paragraph" w:styleId="Revision">
    <w:name w:val="Revision"/>
    <w:uiPriority w:val="99"/>
    <w:semiHidden/>
    <w:qFormat/>
    <w:rsid w:val="00a60fe5"/>
    <w:pPr>
      <w:widowControl/>
      <w:pBdr/>
      <w:bidi w:val="0"/>
      <w:spacing w:before="0" w:after="0"/>
      <w:jc w:val="left"/>
    </w:pPr>
    <w:rPr>
      <w:rFonts w:ascii="Times New Roman" w:hAnsi="Times New Roman" w:eastAsia="Arial Unicode MS" w:cs="Times New Roman"/>
      <w:color w:val="auto"/>
      <w:kern w:val="0"/>
      <w:sz w:val="24"/>
      <w:szCs w:val="24"/>
      <w:lang w:eastAsia="en-US" w:val="pt-BR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mailto:anabellnegherbon@gmail.com" TargetMode="Externa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hyperlink" Target="http://dx.doi.org/10.1590/s1413-70542007000600037" TargetMode="External"/><Relationship Id="rId7" Type="http://schemas.openxmlformats.org/officeDocument/2006/relationships/hyperlink" Target="http://dx.doi.org/10.1136/vetreccr-2020-001112" TargetMode="External"/><Relationship Id="rId8" Type="http://schemas.openxmlformats.org/officeDocument/2006/relationships/hyperlink" Target="http://dx.doi.org/10.1186/s12917-018-1573-2" TargetMode="External"/><Relationship Id="rId9" Type="http://schemas.openxmlformats.org/officeDocument/2006/relationships/hyperlink" Target="http://dx.doi.org/10.1016/j.cvfa.2017.06.007" TargetMode="External"/><Relationship Id="rId10" Type="http://schemas.openxmlformats.org/officeDocument/2006/relationships/hyperlink" Target="http://dx.doi.org/10.12980/apjtb.4.2014b102" TargetMode="External"/><Relationship Id="rId11" Type="http://schemas.openxmlformats.org/officeDocument/2006/relationships/hyperlink" Target="http://dx.doi.org/10.3168/jds.s0022-0302(84)81599-4" TargetMode="External"/><Relationship Id="rId12" Type="http://schemas.openxmlformats.org/officeDocument/2006/relationships/header" Target="header1.xm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3413</TotalTime>
  <Application>LibreOffice/7.3.2.2$Windows_X86_64 LibreOffice_project/49f2b1bff42cfccbd8f788c8dc32c1c309559be0</Application>
  <AppVersion>15.0000</AppVersion>
  <Pages>3</Pages>
  <Words>1496</Words>
  <Characters>8430</Characters>
  <CharactersWithSpaces>9918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2023-09-20T11:44:00Z</dcterms:created>
  <dc:creator>Anabell Negherbon</dc:creator>
  <dc:description/>
  <dc:language>pt-BR</dc:language>
  <cp:lastModifiedBy>Anabell Negherbon</cp:lastModifiedBy>
  <dcterms:modified xsi:type="dcterms:W3CDTF">2023-09-27T19:28:00Z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