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276"/>
        <w:ind w:right="280" w:hanging="0"/>
        <w:jc w:val="center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</w:r>
    </w:p>
    <w:p>
      <w:pPr>
        <w:pStyle w:val="Normal1"/>
        <w:spacing w:lineRule="auto" w:line="276"/>
        <w:ind w:right="280" w:hanging="0"/>
        <w:jc w:val="center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</w:r>
    </w:p>
    <w:p>
      <w:pPr>
        <w:pStyle w:val="Normal1"/>
        <w:spacing w:lineRule="auto" w:line="276"/>
        <w:ind w:right="280" w:hanging="0"/>
        <w:jc w:val="center"/>
        <w:rPr>
          <w:rFonts w:ascii="Arial" w:hAnsi="Arial" w:eastAsia="Arial" w:cs="Arial"/>
          <w:b/>
          <w:b/>
          <w:sz w:val="28"/>
          <w:szCs w:val="28"/>
        </w:rPr>
      </w:pPr>
      <w:r>
        <w:rPr>
          <w:rFonts w:eastAsia="Arial" w:cs="Arial" w:ascii="Arial" w:hAnsi="Arial"/>
          <w:b/>
          <w:sz w:val="28"/>
          <w:szCs w:val="28"/>
        </w:rPr>
        <w:t>COMPONENTES BOTÂNICOS D</w:t>
      </w:r>
      <w:r>
        <w:rPr>
          <w:rFonts w:eastAsia="Arial" w:cs="Arial" w:ascii="Arial" w:hAnsi="Arial"/>
          <w:b/>
          <w:color w:val="000000"/>
          <w:sz w:val="28"/>
          <w:szCs w:val="28"/>
        </w:rPr>
        <w:t>E</w:t>
      </w:r>
      <w:r>
        <w:rPr>
          <w:rFonts w:eastAsia="Arial" w:cs="Arial" w:ascii="Arial" w:hAnsi="Arial"/>
          <w:b/>
          <w:sz w:val="28"/>
          <w:szCs w:val="28"/>
        </w:rPr>
        <w:t xml:space="preserve"> PASTAGEM NATURAL SUBMETIDA À CALAGEM E ADUBAÇÃO</w:t>
      </w:r>
    </w:p>
    <w:p>
      <w:pPr>
        <w:pStyle w:val="Normal1"/>
        <w:spacing w:lineRule="auto" w:line="276"/>
        <w:ind w:right="280" w:hanging="0"/>
        <w:jc w:val="center"/>
        <w:rPr>
          <w:rFonts w:ascii="Arial" w:hAnsi="Arial" w:eastAsia="Arial" w:cs="Arial"/>
          <w:b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1"/>
        <w:ind w:right="284" w:hanging="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eastAsia="Arial" w:cs="Arial" w:ascii="Arial" w:hAnsi="Arial"/>
          <w:sz w:val="20"/>
          <w:szCs w:val="20"/>
          <w:u w:val="single"/>
        </w:rPr>
        <w:t>Bruna Vieira</w:t>
      </w:r>
      <w:r>
        <w:rPr>
          <w:rFonts w:eastAsia="Arial" w:cs="Arial" w:ascii="Arial" w:hAnsi="Arial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sz w:val="20"/>
          <w:szCs w:val="20"/>
        </w:rPr>
        <w:t>, André G. M. Ferreira¹, Cleverson Anderson¹, Gabriela Clemente M. P.¹, Gabriele Siqueira¹, Kettlein Rodrigues P.¹, Constanza F. Fontana², Kelen Cristina Basso</w:t>
      </w:r>
      <w:r>
        <w:rPr>
          <w:rFonts w:eastAsia="Arial" w:cs="Arial" w:ascii="Arial" w:hAnsi="Arial"/>
          <w:sz w:val="20"/>
          <w:szCs w:val="20"/>
          <w:vertAlign w:val="superscript"/>
        </w:rPr>
        <w:t>3</w:t>
      </w:r>
      <w:r>
        <w:rPr>
          <w:rFonts w:eastAsia="Arial" w:cs="Arial" w:ascii="Arial" w:hAnsi="Arial"/>
          <w:sz w:val="20"/>
          <w:szCs w:val="20"/>
        </w:rPr>
        <w:t xml:space="preserve"> </w:t>
      </w:r>
    </w:p>
    <w:p>
      <w:pPr>
        <w:pStyle w:val="Normal1"/>
        <w:ind w:right="284" w:hanging="0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ind w:right="284" w:hanging="0"/>
        <w:jc w:val="center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sz w:val="20"/>
          <w:szCs w:val="20"/>
        </w:rPr>
        <w:t>Estudantes do curso de Agronomia da Universidade Federal de Santa Catarina - UFSC, Campus Curitibanos, ²Estudante do curso de Medicina Veterinária da UFSC, Campus Curitibanos,³ Professora do curso de Agronomia na UFSC, Campus Curitibanos, E-mail: bruunavieiraa20@gmail.com</w:t>
      </w:r>
    </w:p>
    <w:p>
      <w:pPr>
        <w:pStyle w:val="Normal1"/>
        <w:ind w:right="284" w:hanging="0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Contribuição para a sociedade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: Neste trabalho </w:t>
      </w:r>
      <w:r>
        <w:rPr>
          <w:rFonts w:eastAsia="Arial" w:cs="Arial" w:ascii="Arial" w:hAnsi="Arial"/>
          <w:sz w:val="22"/>
          <w:szCs w:val="22"/>
        </w:rPr>
        <w:t>foi detalhado as principais espécies presentes na pastagem natural na região da Coxilha Rica - SC. Destacando as  principais importâncias da pastagem para o avanço da pecuária extensiva e intensiva nas propriedades, com a aplicação de corretivos de acidez e adubos fosfatados para melhorar a relação química do solo. Assim, proporcionando um solo de melhor qualidade para o crescimento e desenvolvimento das plantas forrageiras. Para analisar a porcentagem de plantas de palha fina e palha grossa, gramíneas, carqueja e plantas consideradas como invasoras. Disponibilizando também, o aumento da matéria seca para a alimentação animal e o aumento na taxa de acúmulo das forrageiras durante as estações do ano. Com análise dos resultados de cada modelo de tratamento, comparando-os entre eles para poder entregar ao produtor novas experiências, e melhorando o aproveitamento de suas áreas produtivas com a pastagem natural.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Palavras-chave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: </w:t>
      </w:r>
      <w:r>
        <w:rPr>
          <w:rFonts w:eastAsia="Arial" w:cs="Arial" w:ascii="Arial" w:hAnsi="Arial"/>
          <w:i/>
          <w:color w:val="000000"/>
          <w:sz w:val="22"/>
          <w:szCs w:val="22"/>
        </w:rPr>
        <w:t>Andropogon lateralis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, calagem, </w:t>
      </w:r>
      <w:r>
        <w:rPr>
          <w:rFonts w:eastAsia="Arial" w:cs="Arial" w:ascii="Arial" w:hAnsi="Arial"/>
          <w:sz w:val="22"/>
          <w:szCs w:val="22"/>
        </w:rPr>
        <w:t>Coxilha Rica, fósforo,</w:t>
      </w:r>
      <w:r>
        <w:rPr>
          <w:rFonts w:eastAsia="Arial" w:cs="Arial" w:ascii="Arial" w:hAnsi="Arial"/>
          <w:i/>
          <w:color w:val="000000"/>
          <w:sz w:val="22"/>
          <w:szCs w:val="22"/>
        </w:rPr>
        <w:t xml:space="preserve"> Paspalum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spp</w:t>
      </w:r>
      <w:r>
        <w:rPr>
          <w:rFonts w:eastAsia="Arial" w:cs="Arial" w:ascii="Arial" w:hAnsi="Arial"/>
          <w:sz w:val="22"/>
          <w:szCs w:val="22"/>
        </w:rPr>
        <w:t xml:space="preserve">. 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Introdução: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A Coxilha Rica apresenta cerca de 1.136,5 km² de área, ocupando 43% da área total do município de Lages. </w:t>
      </w:r>
      <w:r>
        <w:rPr>
          <w:rFonts w:eastAsia="Arial" w:cs="Arial" w:ascii="Arial" w:hAnsi="Arial"/>
          <w:sz w:val="22"/>
          <w:szCs w:val="22"/>
        </w:rPr>
        <w:t>Esta r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egião é composta por apresentar um planalto ondulado </w:t>
      </w:r>
      <w:r>
        <w:rPr>
          <w:rFonts w:eastAsia="Arial" w:cs="Arial" w:ascii="Arial" w:hAnsi="Arial"/>
          <w:sz w:val="22"/>
          <w:szCs w:val="22"/>
        </w:rPr>
        <w:t>com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pastagens naturais </w:t>
      </w:r>
      <w:r>
        <w:rPr>
          <w:rFonts w:eastAsia="Arial" w:cs="Arial" w:ascii="Arial" w:hAnsi="Arial"/>
          <w:sz w:val="22"/>
          <w:szCs w:val="22"/>
        </w:rPr>
        <w:t xml:space="preserve">e </w:t>
      </w:r>
      <w:r>
        <w:rPr>
          <w:rFonts w:eastAsia="Arial" w:cs="Arial" w:ascii="Arial" w:hAnsi="Arial"/>
          <w:color w:val="000000"/>
          <w:sz w:val="22"/>
          <w:szCs w:val="22"/>
        </w:rPr>
        <w:t>remanescentes de matas de araucárias (</w:t>
      </w:r>
      <w:r>
        <w:rPr>
          <w:rFonts w:eastAsia="Arial" w:cs="Arial" w:ascii="Arial" w:hAnsi="Arial"/>
          <w:sz w:val="22"/>
          <w:szCs w:val="22"/>
        </w:rPr>
        <w:t>POLÊSE, 2014</w:t>
      </w:r>
      <w:r>
        <w:rPr>
          <w:rFonts w:eastAsia="Arial" w:cs="Arial" w:ascii="Arial" w:hAnsi="Arial"/>
          <w:color w:val="000000"/>
          <w:sz w:val="22"/>
          <w:szCs w:val="22"/>
        </w:rPr>
        <w:t>).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A formação da produção das forrageiras é bastante </w:t>
      </w:r>
      <w:r>
        <w:rPr>
          <w:rFonts w:eastAsia="Arial" w:cs="Arial" w:ascii="Arial" w:hAnsi="Arial"/>
          <w:sz w:val="22"/>
          <w:szCs w:val="22"/>
        </w:rPr>
        <w:t>heterogênea em plantas</w:t>
      </w:r>
      <w:r>
        <w:rPr>
          <w:rFonts w:eastAsia="Arial" w:cs="Arial" w:ascii="Arial" w:hAnsi="Arial"/>
          <w:color w:val="000000"/>
          <w:sz w:val="22"/>
          <w:szCs w:val="22"/>
        </w:rPr>
        <w:t>, apresentando inúmeras espécies, entre gramíneas</w:t>
      </w:r>
      <w:r>
        <w:rPr>
          <w:rFonts w:eastAsia="Arial" w:cs="Arial" w:ascii="Arial" w:hAnsi="Arial"/>
          <w:sz w:val="22"/>
          <w:szCs w:val="22"/>
        </w:rPr>
        <w:t xml:space="preserve"> e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leguminosas</w:t>
      </w:r>
      <w:r>
        <w:rPr>
          <w:rFonts w:eastAsia="Arial" w:cs="Arial" w:ascii="Arial" w:hAnsi="Arial"/>
          <w:sz w:val="22"/>
          <w:szCs w:val="22"/>
        </w:rPr>
        <w:t xml:space="preserve"> (LOPES </w:t>
      </w:r>
      <w:r>
        <w:rPr>
          <w:rFonts w:eastAsia="Arial" w:cs="Arial" w:ascii="Arial" w:hAnsi="Arial"/>
          <w:i/>
          <w:sz w:val="22"/>
          <w:szCs w:val="22"/>
        </w:rPr>
        <w:t>et al</w:t>
      </w:r>
      <w:r>
        <w:rPr>
          <w:rFonts w:eastAsia="Arial" w:cs="Arial" w:ascii="Arial" w:hAnsi="Arial"/>
          <w:sz w:val="22"/>
          <w:szCs w:val="22"/>
        </w:rPr>
        <w:t>, 2020). Com isso, d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evido a </w:t>
      </w:r>
      <w:r>
        <w:rPr>
          <w:rFonts w:eastAsia="Arial" w:cs="Arial" w:ascii="Arial" w:hAnsi="Arial"/>
          <w:sz w:val="22"/>
          <w:szCs w:val="22"/>
        </w:rPr>
        <w:t xml:space="preserve">alta acidez, </w:t>
      </w:r>
      <w:r>
        <w:rPr>
          <w:rFonts w:eastAsia="Arial" w:cs="Arial" w:ascii="Arial" w:hAnsi="Arial"/>
          <w:color w:val="000000"/>
          <w:sz w:val="22"/>
          <w:szCs w:val="22"/>
        </w:rPr>
        <w:t>baixa fertilidade</w:t>
      </w:r>
      <w:r>
        <w:rPr>
          <w:rFonts w:eastAsia="Arial" w:cs="Arial" w:ascii="Arial" w:hAnsi="Arial"/>
          <w:sz w:val="22"/>
          <w:szCs w:val="22"/>
        </w:rPr>
        <w:t xml:space="preserve"> e </w:t>
      </w:r>
      <w:r>
        <w:rPr>
          <w:rFonts w:eastAsia="Arial" w:cs="Arial" w:ascii="Arial" w:hAnsi="Arial"/>
          <w:color w:val="000000"/>
          <w:sz w:val="22"/>
          <w:szCs w:val="22"/>
        </w:rPr>
        <w:t>baixo teor disponível de fósforo</w:t>
      </w:r>
      <w:r>
        <w:rPr>
          <w:rFonts w:eastAsia="Arial" w:cs="Arial" w:ascii="Arial" w:hAnsi="Arial"/>
          <w:sz w:val="22"/>
          <w:szCs w:val="22"/>
        </w:rPr>
        <w:t xml:space="preserve"> no solo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, torna limitada a produtividade de forragem das plantas </w:t>
      </w:r>
      <w:r>
        <w:rPr>
          <w:rFonts w:eastAsia="Arial" w:cs="Arial" w:ascii="Arial" w:hAnsi="Arial"/>
          <w:sz w:val="22"/>
          <w:szCs w:val="22"/>
        </w:rPr>
        <w:t xml:space="preserve">(KAMINSKI </w:t>
      </w:r>
      <w:r>
        <w:rPr>
          <w:rFonts w:eastAsia="Arial" w:cs="Arial" w:ascii="Arial" w:hAnsi="Arial"/>
          <w:i/>
          <w:sz w:val="22"/>
          <w:szCs w:val="22"/>
        </w:rPr>
        <w:t>et al</w:t>
      </w:r>
      <w:r>
        <w:rPr>
          <w:rFonts w:eastAsia="Arial" w:cs="Arial" w:ascii="Arial" w:hAnsi="Arial"/>
          <w:sz w:val="22"/>
          <w:szCs w:val="22"/>
        </w:rPr>
        <w:t>, 2000)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. Este trabalho </w:t>
      </w:r>
      <w:r>
        <w:rPr>
          <w:rFonts w:eastAsia="Arial" w:cs="Arial" w:ascii="Arial" w:hAnsi="Arial"/>
          <w:sz w:val="22"/>
          <w:szCs w:val="22"/>
        </w:rPr>
        <w:t xml:space="preserve">foi </w:t>
      </w:r>
      <w:r>
        <w:rPr>
          <w:rFonts w:eastAsia="Arial" w:cs="Arial" w:ascii="Arial" w:hAnsi="Arial"/>
          <w:color w:val="000000"/>
          <w:sz w:val="22"/>
          <w:szCs w:val="22"/>
        </w:rPr>
        <w:t>realizado em uma propriedade localizada na Coxilha Rica, município de Lages, na região Serrana de Santa Catarina, a qual apresenta grande atividade de pecuária extensiva, a base da produção diversificada das forrageiras nativas. Assim, o objetivo deste trabalho foi determinar a produção forrageira dos diferentes tratamentos, submetidos a correção da acidez do solo e adubação fosfatada durante o período de verão nas pastagens naturais, identificando os principais grupos de plantas forrageiras presentes sob lotação contínua dos bovinos da propriedade. F</w:t>
      </w:r>
      <w:r>
        <w:rPr>
          <w:rFonts w:eastAsia="Arial" w:cs="Arial" w:ascii="Arial" w:hAnsi="Arial"/>
          <w:sz w:val="22"/>
          <w:szCs w:val="22"/>
        </w:rPr>
        <w:t>oram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utilizados três hectares de pastagem natural, divididos em três tratamentos diferentes, sendo eles: testemunha, apenas calagem, e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calagem </w:t>
      </w:r>
      <w:r>
        <w:rPr>
          <w:rFonts w:eastAsia="Arial" w:cs="Arial" w:ascii="Arial" w:hAnsi="Arial"/>
          <w:sz w:val="22"/>
          <w:szCs w:val="22"/>
        </w:rPr>
        <w:t>com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adubação fosfatada. </w:t>
      </w:r>
      <w:r>
        <w:rPr>
          <w:rFonts w:eastAsia="Arial" w:cs="Arial" w:ascii="Arial" w:hAnsi="Arial"/>
          <w:sz w:val="22"/>
          <w:szCs w:val="22"/>
        </w:rPr>
        <w:t xml:space="preserve">A cada </w:t>
      </w:r>
      <w:r>
        <w:rPr>
          <w:rFonts w:eastAsia="Arial" w:cs="Arial" w:ascii="Arial" w:hAnsi="Arial"/>
          <w:color w:val="000000"/>
          <w:sz w:val="22"/>
          <w:szCs w:val="22"/>
        </w:rPr>
        <w:t>25</w:t>
      </w:r>
      <w:r>
        <w:rPr>
          <w:rFonts w:eastAsia="Arial" w:cs="Arial" w:ascii="Arial" w:hAnsi="Arial"/>
          <w:sz w:val="22"/>
          <w:szCs w:val="22"/>
        </w:rPr>
        <w:t xml:space="preserve"> dias foram realizadas as coletas e as amostras foram processadas na Fazenda Experimental da UFSC, para obter as porcentagens de cada grupo de plantas na massa de forragem. Com a aplicação de calcário e adubação fosfatada foram observados aumento na porcentagem de plantas de palha grossa e uma menor quantidade de palha fina.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color w:val="00000A"/>
          <w:sz w:val="22"/>
          <w:szCs w:val="22"/>
        </w:rPr>
      </w:pPr>
      <w:bookmarkStart w:id="0" w:name="_gjdgxs"/>
      <w:bookmarkEnd w:id="0"/>
      <w:r>
        <w:rPr>
          <w:rFonts w:eastAsia="Arial" w:cs="Arial" w:ascii="Arial" w:hAnsi="Arial"/>
          <w:b/>
          <w:color w:val="000000"/>
          <w:sz w:val="22"/>
          <w:szCs w:val="22"/>
        </w:rPr>
        <w:t>Material e métodos: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Este </w:t>
      </w:r>
      <w:r>
        <w:rPr>
          <w:rFonts w:eastAsia="Arial" w:cs="Arial" w:ascii="Arial" w:hAnsi="Arial"/>
          <w:sz w:val="22"/>
          <w:szCs w:val="22"/>
        </w:rPr>
        <w:t xml:space="preserve">experimento foi realizado </w:t>
      </w:r>
      <w:r>
        <w:rPr>
          <w:rFonts w:eastAsia="Arial" w:cs="Arial" w:ascii="Arial" w:hAnsi="Arial"/>
          <w:color w:val="000000"/>
          <w:sz w:val="22"/>
          <w:szCs w:val="22"/>
        </w:rPr>
        <w:t>em</w:t>
      </w:r>
      <w:r>
        <w:rPr>
          <w:rFonts w:eastAsia="Arial" w:cs="Arial" w:ascii="Arial" w:hAnsi="Arial"/>
          <w:sz w:val="22"/>
          <w:szCs w:val="22"/>
        </w:rPr>
        <w:t xml:space="preserve"> pastagem natural na região da Coxilha Rica, durante o verão e início do outono de 2022 a 2023.  Foram utilizados três hectares da propriedade, divididos em três tratamentos diferentes, sendo eles: tratamento 1: testemunha (T), tratamento 2: apenas calagem (C) e tratamento 3: calagem+adubação fosfatada (C+P). Para cada tratamento foram alocadas três gaiolas de exclusão, utilizando a técnica do triplo emparelhamento, proposto por Moraes (1991), para conseguir avaliar o acúmulo de forragem sem o efeito do pastejo dos animais dentro desta área. As coletas foram realizadas a cada 25 dias,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retirando-se </w:t>
      </w:r>
      <w:r>
        <w:rPr>
          <w:rFonts w:eastAsia="Arial" w:cs="Arial" w:ascii="Arial" w:hAnsi="Arial"/>
          <w:sz w:val="22"/>
          <w:szCs w:val="22"/>
        </w:rPr>
        <w:t xml:space="preserve"> amostras na altura média do pasto fora das gaiolas, e também coletando amostra dentro das gaiolas de exclusão, </w:t>
      </w:r>
      <w:r>
        <w:rPr>
          <w:rFonts w:eastAsia="Arial" w:cs="Arial" w:ascii="Arial" w:hAnsi="Arial"/>
          <w:color w:val="000000"/>
          <w:sz w:val="22"/>
          <w:szCs w:val="22"/>
        </w:rPr>
        <w:t>que foram realocadas</w:t>
      </w:r>
      <w:r>
        <w:rPr>
          <w:rFonts w:eastAsia="Arial" w:cs="Arial" w:ascii="Arial" w:hAnsi="Arial"/>
          <w:sz w:val="22"/>
          <w:szCs w:val="22"/>
        </w:rPr>
        <w:t xml:space="preserve">  para a próxima coleta. </w:t>
      </w:r>
      <w:r>
        <w:rPr>
          <w:rFonts w:eastAsia="Arial" w:cs="Arial" w:ascii="Arial" w:hAnsi="Arial"/>
          <w:color w:val="000000"/>
          <w:sz w:val="22"/>
          <w:szCs w:val="22"/>
        </w:rPr>
        <w:t>F</w:t>
      </w:r>
      <w:r>
        <w:rPr>
          <w:rFonts w:eastAsia="Arial" w:cs="Arial" w:ascii="Arial" w:hAnsi="Arial"/>
          <w:sz w:val="22"/>
          <w:szCs w:val="22"/>
        </w:rPr>
        <w:t>oi aferid</w:t>
      </w:r>
      <w:r>
        <w:rPr>
          <w:rFonts w:eastAsia="Arial" w:cs="Arial" w:ascii="Arial" w:hAnsi="Arial"/>
          <w:color w:val="000000"/>
          <w:sz w:val="22"/>
          <w:szCs w:val="22"/>
        </w:rPr>
        <w:t>a</w:t>
      </w:r>
      <w:r>
        <w:rPr>
          <w:rFonts w:eastAsia="Arial" w:cs="Arial" w:ascii="Arial" w:hAnsi="Arial"/>
          <w:sz w:val="22"/>
          <w:szCs w:val="22"/>
        </w:rPr>
        <w:t xml:space="preserve"> </w:t>
      </w:r>
      <w:r>
        <w:rPr>
          <w:rFonts w:eastAsia="Arial" w:cs="Arial" w:ascii="Arial" w:hAnsi="Arial"/>
          <w:color w:val="000000"/>
          <w:sz w:val="22"/>
          <w:szCs w:val="22"/>
        </w:rPr>
        <w:t>a massa</w:t>
      </w:r>
      <w:r>
        <w:rPr>
          <w:rFonts w:eastAsia="Arial" w:cs="Arial" w:ascii="Arial" w:hAnsi="Arial"/>
          <w:sz w:val="22"/>
          <w:szCs w:val="22"/>
        </w:rPr>
        <w:t xml:space="preserve"> das amostras inteiras, realizando-se a separação em duas subamostras, onde uma foi colocada em estufa para secagem a 65°C por 72 horas, e a outra foi </w:t>
      </w:r>
      <w:r>
        <w:rPr>
          <w:rFonts w:eastAsia="Arial" w:cs="Arial" w:ascii="Arial" w:hAnsi="Arial"/>
          <w:color w:val="000000"/>
          <w:sz w:val="22"/>
          <w:szCs w:val="22"/>
        </w:rPr>
        <w:t>utilizada para</w:t>
      </w:r>
      <w:r>
        <w:rPr>
          <w:rFonts w:eastAsia="Arial" w:cs="Arial" w:ascii="Arial" w:hAnsi="Arial"/>
          <w:sz w:val="22"/>
          <w:szCs w:val="22"/>
        </w:rPr>
        <w:t xml:space="preserve"> separação das espécies, </w:t>
      </w:r>
      <w:r>
        <w:rPr>
          <w:rFonts w:eastAsia="Arial" w:cs="Arial" w:ascii="Arial" w:hAnsi="Arial"/>
          <w:color w:val="000000"/>
          <w:sz w:val="22"/>
          <w:szCs w:val="22"/>
        </w:rPr>
        <w:t>seguid</w:t>
      </w:r>
      <w:r>
        <w:rPr>
          <w:rFonts w:eastAsia="Arial" w:cs="Arial" w:ascii="Arial" w:hAnsi="Arial"/>
          <w:sz w:val="22"/>
          <w:szCs w:val="22"/>
        </w:rPr>
        <w:t>a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de</w:t>
      </w:r>
      <w:r>
        <w:rPr>
          <w:rFonts w:eastAsia="Arial" w:cs="Arial" w:ascii="Arial" w:hAnsi="Arial"/>
          <w:sz w:val="22"/>
          <w:szCs w:val="22"/>
        </w:rPr>
        <w:t xml:space="preserve"> secagem e pesagem das mesmas. Ao final do processamento das amostras de cada tratamento foi possível obter a massa da matéria seca de forragem (kg de MS/ha), obtida pela média </w:t>
      </w:r>
      <w:r>
        <w:rPr>
          <w:rFonts w:eastAsia="Arial" w:cs="Arial" w:ascii="Arial" w:hAnsi="Arial"/>
          <w:color w:val="000000"/>
          <w:sz w:val="22"/>
          <w:szCs w:val="22"/>
        </w:rPr>
        <w:t>d</w:t>
      </w:r>
      <w:r>
        <w:rPr>
          <w:rFonts w:eastAsia="Arial" w:cs="Arial" w:ascii="Arial" w:hAnsi="Arial"/>
          <w:sz w:val="22"/>
          <w:szCs w:val="22"/>
        </w:rPr>
        <w:t xml:space="preserve">os quatros cortes realizados; porcentagem </w:t>
      </w:r>
      <w:r>
        <w:rPr>
          <w:rFonts w:eastAsia="Arial" w:cs="Arial" w:ascii="Arial" w:hAnsi="Arial"/>
          <w:color w:val="000000"/>
          <w:sz w:val="22"/>
          <w:szCs w:val="22"/>
        </w:rPr>
        <w:t>de espécies vegetais</w:t>
      </w:r>
      <w:r>
        <w:rPr>
          <w:rFonts w:eastAsia="Arial" w:cs="Arial" w:ascii="Arial" w:hAnsi="Arial"/>
          <w:sz w:val="22"/>
          <w:szCs w:val="22"/>
        </w:rPr>
        <w:t xml:space="preserve"> dos grupos de palha fina (%P.fina); palha grossa (%P.grossa); plantas rasteiras e estoloníferas (%Gramíneas); carqueja (%Carqueja) e porcentagem de plantas que foram consideradas invasoras (%Invasoras), como alecrim-do-campo (</w:t>
      </w:r>
      <w:r>
        <w:rPr>
          <w:rFonts w:eastAsia="Arial" w:cs="Arial" w:ascii="Arial" w:hAnsi="Arial"/>
          <w:i/>
          <w:sz w:val="22"/>
          <w:szCs w:val="22"/>
        </w:rPr>
        <w:t>Baccharis dracunculifolia</w:t>
      </w:r>
      <w:r>
        <w:rPr>
          <w:rFonts w:eastAsia="Arial" w:cs="Arial" w:ascii="Arial" w:hAnsi="Arial"/>
          <w:sz w:val="22"/>
          <w:szCs w:val="22"/>
        </w:rPr>
        <w:t>), erva-quente (</w:t>
      </w:r>
      <w:r>
        <w:rPr>
          <w:rFonts w:eastAsia="Arial" w:cs="Arial" w:ascii="Arial" w:hAnsi="Arial"/>
          <w:i/>
          <w:sz w:val="22"/>
          <w:szCs w:val="22"/>
        </w:rPr>
        <w:t>Spermacoce alata</w:t>
      </w:r>
      <w:r>
        <w:rPr>
          <w:rFonts w:eastAsia="Arial" w:cs="Arial" w:ascii="Arial" w:hAnsi="Arial"/>
          <w:sz w:val="22"/>
          <w:szCs w:val="22"/>
        </w:rPr>
        <w:t>), caraguatá (</w:t>
      </w:r>
      <w:r>
        <w:rPr>
          <w:rFonts w:eastAsia="Arial" w:cs="Arial" w:ascii="Arial" w:hAnsi="Arial"/>
          <w:i/>
          <w:sz w:val="22"/>
          <w:szCs w:val="22"/>
        </w:rPr>
        <w:t>Eryngium horridum</w:t>
      </w:r>
      <w:r>
        <w:rPr>
          <w:rFonts w:eastAsia="Arial" w:cs="Arial" w:ascii="Arial" w:hAnsi="Arial"/>
          <w:sz w:val="22"/>
          <w:szCs w:val="22"/>
        </w:rPr>
        <w:t>). Os dados foram apresentados de forma descritiva.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b/>
          <w:b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Resultados e discussões: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Na área onde não se </w:t>
      </w:r>
      <w:r>
        <w:rPr>
          <w:rFonts w:eastAsia="Arial" w:cs="Arial" w:ascii="Arial" w:hAnsi="Arial"/>
          <w:sz w:val="22"/>
          <w:szCs w:val="22"/>
        </w:rPr>
        <w:t>realizou nenhuma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adubação foi observada</w:t>
      </w:r>
      <w:r>
        <w:rPr>
          <w:rFonts w:eastAsia="Arial" w:cs="Arial" w:ascii="Arial" w:hAnsi="Arial"/>
          <w:sz w:val="22"/>
          <w:szCs w:val="22"/>
        </w:rPr>
        <w:t xml:space="preserve"> maior porcentagem de plantas de palha fina, seguido pelo </w:t>
      </w:r>
      <w:r>
        <w:rPr>
          <w:rFonts w:eastAsia="Arial" w:cs="Arial" w:ascii="Arial" w:hAnsi="Arial"/>
          <w:color w:val="000000"/>
          <w:sz w:val="22"/>
          <w:szCs w:val="22"/>
        </w:rPr>
        <w:t>tratamento</w:t>
      </w:r>
      <w:r>
        <w:rPr>
          <w:rFonts w:eastAsia="Arial" w:cs="Arial" w:ascii="Arial" w:hAnsi="Arial"/>
          <w:sz w:val="22"/>
          <w:szCs w:val="22"/>
        </w:rPr>
        <w:t xml:space="preserve"> calcareado e pela área que recebeu calagem e adubação fosfatada (Figura 1). A porcentagem de plantas de palha grossa foi inversamente proporcional comparados a porcentagem de palha fina, onde pode ser observado equilíbrio entre a porcentagem dos dois grupos de plantas entre os tratamentos. A quantidade de gramíneas diversas foi menos abundante nos piquetes, praticamente se igualando, independente do calcareamento ou adubação fosfatada, apresentando porcentagem um pouco maior no piquete que recebeu calcário. A porcentagem de carquejas, foi baixa em relação às plantas de palha fina e palha grossa, </w:t>
      </w:r>
      <w:r>
        <w:rPr>
          <w:rFonts w:eastAsia="Arial" w:cs="Arial" w:ascii="Arial" w:hAnsi="Arial"/>
          <w:color w:val="000000"/>
          <w:sz w:val="22"/>
          <w:szCs w:val="22"/>
        </w:rPr>
        <w:t>sendo que</w:t>
      </w:r>
      <w:r>
        <w:rPr>
          <w:rFonts w:eastAsia="Arial" w:cs="Arial" w:ascii="Arial" w:hAnsi="Arial"/>
          <w:sz w:val="22"/>
          <w:szCs w:val="22"/>
        </w:rPr>
        <w:t xml:space="preserve"> no piquete que recebeu calcário apresentou maior </w:t>
      </w:r>
      <w:r>
        <w:rPr>
          <w:rFonts w:eastAsia="Arial" w:cs="Arial" w:ascii="Arial" w:hAnsi="Arial"/>
          <w:color w:val="000000"/>
          <w:sz w:val="22"/>
          <w:szCs w:val="22"/>
        </w:rPr>
        <w:t>presença</w:t>
      </w:r>
      <w:r>
        <w:rPr>
          <w:rFonts w:eastAsia="Arial" w:cs="Arial" w:ascii="Arial" w:hAnsi="Arial"/>
          <w:sz w:val="22"/>
          <w:szCs w:val="22"/>
        </w:rPr>
        <w:t xml:space="preserve">. As plantas invasoras foram pouco significativas na porcentagem final. </w:t>
      </w:r>
      <w:r>
        <w:rPr>
          <w:rFonts w:eastAsia="Arial" w:cs="Arial" w:ascii="Arial" w:hAnsi="Arial"/>
          <w:color w:val="000000"/>
          <w:sz w:val="22"/>
          <w:szCs w:val="22"/>
        </w:rPr>
        <w:t>A</w:t>
      </w:r>
      <w:r>
        <w:rPr>
          <w:rFonts w:eastAsia="Arial" w:cs="Arial" w:ascii="Arial" w:hAnsi="Arial"/>
          <w:sz w:val="22"/>
          <w:szCs w:val="22"/>
        </w:rPr>
        <w:t xml:space="preserve"> massa de forragem foi de 1.956 kg MS.ha</w:t>
      </w:r>
      <w:r>
        <w:rPr>
          <w:rFonts w:eastAsia="Arial" w:cs="Arial" w:ascii="Arial" w:hAnsi="Arial"/>
          <w:sz w:val="22"/>
          <w:szCs w:val="22"/>
          <w:vertAlign w:val="superscript"/>
        </w:rPr>
        <w:t>-1</w:t>
      </w:r>
      <w:r>
        <w:rPr>
          <w:rFonts w:eastAsia="Arial" w:cs="Arial" w:ascii="Arial" w:hAnsi="Arial"/>
          <w:sz w:val="22"/>
          <w:szCs w:val="22"/>
        </w:rPr>
        <w:t xml:space="preserve"> no piquete  testemunha, 2.120 kg MS.ha</w:t>
      </w:r>
      <w:r>
        <w:rPr>
          <w:rFonts w:eastAsia="Arial" w:cs="Arial" w:ascii="Arial" w:hAnsi="Arial"/>
          <w:sz w:val="22"/>
          <w:szCs w:val="22"/>
          <w:vertAlign w:val="superscript"/>
        </w:rPr>
        <w:t>-1</w:t>
      </w:r>
      <w:r>
        <w:rPr>
          <w:rFonts w:eastAsia="Arial" w:cs="Arial" w:ascii="Arial" w:hAnsi="Arial"/>
          <w:sz w:val="22"/>
          <w:szCs w:val="22"/>
        </w:rPr>
        <w:t xml:space="preserve"> no piquete com aplicação de calcário e 2.076 kg MS.ha</w:t>
      </w:r>
      <w:r>
        <w:rPr>
          <w:rFonts w:eastAsia="Arial" w:cs="Arial" w:ascii="Arial" w:hAnsi="Arial"/>
          <w:sz w:val="22"/>
          <w:szCs w:val="22"/>
          <w:vertAlign w:val="superscript"/>
        </w:rPr>
        <w:t>-1</w:t>
      </w:r>
      <w:r>
        <w:rPr>
          <w:rFonts w:eastAsia="Arial" w:cs="Arial" w:ascii="Arial" w:hAnsi="Arial"/>
          <w:sz w:val="22"/>
          <w:szCs w:val="22"/>
        </w:rPr>
        <w:t xml:space="preserve"> no piquete com aplicação de calcário e fósforo. Segundo Berretta (1996), os diferentes grupos de plantas apresentam formas diversas de absorção dos nutrientes disponíveis e de desenvolvimento em relação à fertilidade do solo. Conforme apresentado por Kaminski (2000), o solo do campo nativo é apto para produzir com a acidez elevada, mas com o uso de corretivos de acidez proporcionam melhor rendimento das plantas.</w:t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/>
        <w:drawing>
          <wp:inline distT="0" distB="0" distL="0" distR="0">
            <wp:extent cx="5759450" cy="2921000"/>
            <wp:effectExtent l="0" t="0" r="0" b="0"/>
            <wp:docPr id="1" name="image2.png" descr="Gráf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 descr="Gráfico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Figura 1. </w:t>
      </w:r>
      <w:r>
        <w:rPr>
          <w:rFonts w:eastAsia="Arial" w:cs="Arial" w:ascii="Arial" w:hAnsi="Arial"/>
          <w:color w:val="000000"/>
          <w:sz w:val="22"/>
          <w:szCs w:val="22"/>
        </w:rPr>
        <w:t>P</w:t>
      </w:r>
      <w:r>
        <w:rPr>
          <w:rFonts w:eastAsia="Arial" w:cs="Arial" w:ascii="Arial" w:hAnsi="Arial"/>
          <w:sz w:val="22"/>
          <w:szCs w:val="22"/>
        </w:rPr>
        <w:t>orcentagem de espécies forrageiras, divididas em forrageiras de palha fina, forrageiras de palha grossa, gramíneas, carqueja e plantas consideradas invasoras, sob tratamentos testemunha e com aplicação de calcário e calcário+fósforo.</w:t>
      </w:r>
    </w:p>
    <w:p>
      <w:pPr>
        <w:pStyle w:val="Normal1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  <w:t xml:space="preserve">Fonte: </w:t>
      </w:r>
      <w:r>
        <w:rPr>
          <w:rFonts w:eastAsia="Arial" w:cs="Arial" w:ascii="Arial" w:hAnsi="Arial"/>
          <w:sz w:val="22"/>
          <w:szCs w:val="22"/>
        </w:rPr>
        <w:t>Autor (2023)</w:t>
      </w:r>
      <w:r>
        <w:rPr>
          <w:rFonts w:eastAsia="Arial" w:cs="Arial" w:ascii="Arial" w:hAnsi="Arial"/>
          <w:color w:val="000000"/>
          <w:sz w:val="22"/>
          <w:szCs w:val="22"/>
        </w:rPr>
        <w:t>.</w:t>
      </w:r>
    </w:p>
    <w:p>
      <w:pPr>
        <w:pStyle w:val="Normal1"/>
        <w:spacing w:lineRule="auto" w:line="240"/>
        <w:jc w:val="both"/>
        <w:rPr>
          <w:rFonts w:ascii="Arial" w:hAnsi="Arial" w:eastAsia="Arial" w:cs="Arial"/>
          <w:color w:val="00000A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      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                   </w:t>
      </w:r>
    </w:p>
    <w:p>
      <w:pPr>
        <w:pStyle w:val="Normal1"/>
        <w:spacing w:lineRule="auto" w:line="240"/>
        <w:jc w:val="both"/>
        <w:rPr>
          <w:rFonts w:ascii="Arial" w:hAnsi="Arial" w:eastAsia="Arial" w:cs="Arial"/>
          <w:sz w:val="22"/>
          <w:szCs w:val="22"/>
        </w:rPr>
      </w:pPr>
      <w:bookmarkStart w:id="1" w:name="_30j0zll"/>
      <w:bookmarkEnd w:id="1"/>
      <w:r>
        <w:rPr>
          <w:rFonts w:eastAsia="Arial" w:cs="Arial" w:ascii="Arial" w:hAnsi="Arial"/>
          <w:b/>
          <w:color w:val="000000"/>
          <w:sz w:val="22"/>
          <w:szCs w:val="22"/>
        </w:rPr>
        <w:t>Conclusão</w:t>
      </w:r>
      <w:r>
        <w:rPr>
          <w:rFonts w:eastAsia="Arial" w:cs="Arial" w:ascii="Arial" w:hAnsi="Arial"/>
          <w:color w:val="000000"/>
          <w:sz w:val="22"/>
          <w:szCs w:val="22"/>
        </w:rPr>
        <w:t xml:space="preserve">: </w:t>
      </w:r>
      <w:r>
        <w:rPr>
          <w:rFonts w:eastAsia="Arial" w:cs="Arial" w:ascii="Arial" w:hAnsi="Arial"/>
          <w:sz w:val="22"/>
          <w:szCs w:val="22"/>
        </w:rPr>
        <w:t>Os pastos não adubados apresentaram maior porcentagem das espécies de gramíneas de palha fina, enquanto que as parcelas com aplicação de calcário + fósforo, apresentaram maior porcentagem de gramíneas de palha grossa.</w:t>
      </w:r>
    </w:p>
    <w:p>
      <w:pPr>
        <w:pStyle w:val="Normal1"/>
        <w:spacing w:lineRule="auto" w:line="240"/>
        <w:ind w:firstLine="720"/>
        <w:jc w:val="both"/>
        <w:rPr>
          <w:rFonts w:ascii="Arial" w:hAnsi="Arial" w:eastAsia="Arial" w:cs="Arial"/>
          <w:sz w:val="22"/>
          <w:szCs w:val="22"/>
        </w:rPr>
      </w:pPr>
      <w:bookmarkStart w:id="2" w:name="_1fob9te"/>
      <w:bookmarkEnd w:id="2"/>
      <w:r>
        <w:rPr>
          <w:rFonts w:eastAsia="Arial" w:cs="Arial" w:ascii="Arial" w:hAnsi="Arial"/>
          <w:sz w:val="22"/>
          <w:szCs w:val="22"/>
        </w:rPr>
        <w:t>Com aplicação de calcário e calcário + fósforo, os pastos apresentaram maior massa de forragem em relação à testemunha. Indicando ser uma boa opção para melhorar a produtividade dessas áreas.</w:t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Agradecimento: Instituição de fomento ou colaborador do projeto</w:t>
      </w:r>
      <w:r>
        <w:rPr>
          <w:rFonts w:eastAsia="Arial" w:cs="Arial" w:ascii="Arial" w:hAnsi="Arial"/>
          <w:color w:val="000000"/>
          <w:sz w:val="22"/>
          <w:szCs w:val="22"/>
        </w:rPr>
        <w:t>: Agrade</w:t>
      </w:r>
      <w:r>
        <w:rPr>
          <w:rFonts w:eastAsia="Arial" w:cs="Arial" w:ascii="Arial" w:hAnsi="Arial"/>
          <w:sz w:val="22"/>
          <w:szCs w:val="22"/>
        </w:rPr>
        <w:t>cemos aos proprietários da Fazenda da Raia, localizada na Coxilha Rica, senhor Celso Augusto Vieira e senhora Marcia Rech Vieira, pela aquisição dos materiais necessários, disponibilidade e auxílio durante o decorrer do experimento. Estendendo os agradecimentos ao GEFSC, grupo de estudos em forragicultura da UFSC, o qual auxiliou durante a separação das amostras do experimento.</w:t>
      </w:r>
    </w:p>
    <w:p>
      <w:pPr>
        <w:pStyle w:val="Normal1"/>
        <w:jc w:val="both"/>
        <w:rPr>
          <w:rFonts w:ascii="Arial" w:hAnsi="Arial" w:eastAsia="Arial" w:cs="Arial"/>
          <w:color w:val="000000"/>
          <w:sz w:val="22"/>
          <w:szCs w:val="22"/>
        </w:rPr>
      </w:pPr>
      <w:r>
        <w:rPr>
          <w:rFonts w:eastAsia="Arial" w:cs="Arial" w:ascii="Arial" w:hAnsi="Arial"/>
          <w:color w:val="000000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b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>SISGEN, COMITÊ DE ÉTICA, PLATAFORMA BRASIL:</w:t>
      </w:r>
    </w:p>
    <w:p>
      <w:pPr>
        <w:pStyle w:val="Normal1"/>
        <w:jc w:val="both"/>
        <w:rPr>
          <w:rFonts w:ascii="Arial" w:hAnsi="Arial" w:eastAsia="Arial" w:cs="Arial"/>
          <w:b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b/>
          <w:b/>
          <w:color w:val="000000"/>
          <w:sz w:val="22"/>
          <w:szCs w:val="22"/>
        </w:rPr>
      </w:pPr>
      <w:r>
        <w:rPr>
          <w:rFonts w:eastAsia="Arial" w:cs="Arial" w:ascii="Arial" w:hAnsi="Arial"/>
          <w:b/>
          <w:color w:val="000000"/>
          <w:sz w:val="22"/>
          <w:szCs w:val="22"/>
        </w:rPr>
        <w:t xml:space="preserve">Referências: </w:t>
      </w:r>
    </w:p>
    <w:p>
      <w:pPr>
        <w:pStyle w:val="Normal1"/>
        <w:rPr>
          <w:rFonts w:ascii="Arial" w:hAnsi="Arial" w:eastAsia="Arial" w:cs="Arial"/>
          <w:b/>
          <w:b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 xml:space="preserve">BERRETTA, E. J. 1996. Campo Natural: valor nutritivo y manejo. In: RISSO D. F.: Berreta E. J. Morón A. (Eds.) Producción y manejo de pasturas. Montevideo: INIA. 113-127. (Série Técnica, 80). Disponível em: </w:t>
      </w:r>
      <w:hyperlink r:id="rId3">
        <w:r>
          <w:rPr>
            <w:rFonts w:eastAsia="Arial" w:cs="Arial" w:ascii="Arial" w:hAnsi="Arial"/>
            <w:sz w:val="22"/>
            <w:szCs w:val="22"/>
          </w:rPr>
          <w:t>http://www.ainfo.inia.uy/digital/bitstream/item/8484/1/ST80-p.113-127.pdf</w:t>
        </w:r>
      </w:hyperlink>
      <w:r>
        <w:rPr>
          <w:rFonts w:eastAsia="Arial" w:cs="Arial" w:ascii="Arial" w:hAnsi="Arial"/>
          <w:sz w:val="22"/>
          <w:szCs w:val="22"/>
        </w:rPr>
        <w:t>. Acesso em: 20 setembro 2023.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ind w:right="284" w:hanging="0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LOPES, S.; TEIXEIRA XAVIER, V.; MARTINS DE BALTEZAN, M.; PAZ DEBLE, L.</w:t>
      </w:r>
    </w:p>
    <w:p>
      <w:pPr>
        <w:pStyle w:val="Normal1"/>
        <w:ind w:right="284" w:hanging="0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  <w:t>GRAMÍNEAS E LEGUMINOSAS EM UM REMANESCENTE DE CAMPO NATIVO.</w:t>
      </w:r>
    </w:p>
    <w:p>
      <w:pPr>
        <w:pStyle w:val="Normal1"/>
        <w:ind w:right="284" w:hanging="0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b/>
          <w:sz w:val="22"/>
          <w:szCs w:val="22"/>
        </w:rPr>
        <w:t>Anais</w:t>
      </w:r>
      <w:r>
        <w:rPr>
          <w:rFonts w:eastAsia="Arial" w:cs="Arial" w:ascii="Arial" w:hAnsi="Arial"/>
          <w:sz w:val="22"/>
          <w:szCs w:val="22"/>
        </w:rPr>
        <w:t xml:space="preserve"> do Salão Internacional de Ensino, Pesquisa e Extensão, 2020, v. 10, n. 2.</w:t>
      </w:r>
    </w:p>
    <w:p>
      <w:pPr>
        <w:pStyle w:val="Normal1"/>
        <w:ind w:right="284" w:hanging="0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  <w:bookmarkStart w:id="3" w:name="_3znysh7"/>
      <w:bookmarkStart w:id="4" w:name="_3znysh7"/>
      <w:bookmarkEnd w:id="4"/>
    </w:p>
    <w:p>
      <w:pPr>
        <w:pStyle w:val="Normal1"/>
        <w:ind w:right="284" w:hanging="0"/>
        <w:rPr>
          <w:rFonts w:ascii="Arial" w:hAnsi="Arial" w:eastAsia="Arial" w:cs="Arial"/>
          <w:sz w:val="22"/>
          <w:szCs w:val="22"/>
        </w:rPr>
      </w:pPr>
      <w:bookmarkStart w:id="5" w:name="_2et92p0"/>
      <w:bookmarkEnd w:id="5"/>
      <w:r>
        <w:rPr>
          <w:rFonts w:eastAsia="Arial" w:cs="Arial" w:ascii="Arial" w:hAnsi="Arial"/>
          <w:sz w:val="22"/>
          <w:szCs w:val="22"/>
        </w:rPr>
        <w:t xml:space="preserve">KAMINSKI J; RHEINHEIMER D.S.; SANTOS EJS; GATIBONI LC; BORTOLUZZI EC; XAVIER FM. Resposta de culturas à aplicação de calcário em superfície ou incorporado ao solo em campo nativo. Cienc Rura]. 2000Jul;30(4):605–9. DOI:: </w:t>
      </w:r>
      <w:hyperlink r:id="rId4">
        <w:r>
          <w:rPr>
            <w:rFonts w:eastAsia="Arial" w:cs="Arial" w:ascii="Arial" w:hAnsi="Arial"/>
            <w:sz w:val="22"/>
            <w:szCs w:val="22"/>
          </w:rPr>
          <w:t>https://doi.org/10.1590/S0103-84782000000400008</w:t>
        </w:r>
      </w:hyperlink>
      <w:r>
        <w:rPr>
          <w:rFonts w:eastAsia="Arial" w:cs="Arial" w:ascii="Arial" w:hAnsi="Arial"/>
          <w:sz w:val="22"/>
          <w:szCs w:val="22"/>
        </w:rPr>
        <w:t xml:space="preserve">. </w:t>
      </w:r>
    </w:p>
    <w:p>
      <w:pPr>
        <w:pStyle w:val="Normal1"/>
        <w:ind w:right="284" w:hanging="0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  <w:bookmarkStart w:id="6" w:name="_tyjcwt"/>
      <w:bookmarkStart w:id="7" w:name="_tyjcwt"/>
      <w:bookmarkEnd w:id="7"/>
    </w:p>
    <w:p>
      <w:pPr>
        <w:pStyle w:val="Normal1"/>
        <w:ind w:right="284" w:hanging="0"/>
        <w:rPr>
          <w:rFonts w:ascii="Arial" w:hAnsi="Arial" w:eastAsia="Arial" w:cs="Arial"/>
          <w:sz w:val="22"/>
          <w:szCs w:val="22"/>
        </w:rPr>
      </w:pPr>
      <w:bookmarkStart w:id="8" w:name="_3dy6vkm"/>
      <w:bookmarkEnd w:id="8"/>
      <w:r>
        <w:rPr>
          <w:rFonts w:eastAsia="Arial" w:cs="Arial" w:ascii="Arial" w:hAnsi="Arial"/>
          <w:sz w:val="22"/>
          <w:szCs w:val="22"/>
        </w:rPr>
        <w:t xml:space="preserve">POLÊSE, C. Coxilha Rica: subsídios a uma proposta de conservação para o sul do município de Lages-SC. 2014. 185 p. Dissertação (Mestrado) – Universidade do Estado de Santa Catarina, Centro de Ciências Humanas e da Educação, Programa de Pós-graduação Profissional em Planejamento Territorial e Desenvolvimento Socioambiental, Florianópolis, 2014. Disponível em: </w:t>
      </w:r>
      <w:hyperlink r:id="rId5">
        <w:r>
          <w:rPr>
            <w:rFonts w:eastAsia="Arial" w:cs="Arial" w:ascii="Arial" w:hAnsi="Arial"/>
            <w:sz w:val="22"/>
            <w:szCs w:val="22"/>
          </w:rPr>
          <w:t>http://www.faed.udesc.br/arquivos/id_submenu/1167/cosme_polese.pdf</w:t>
        </w:r>
      </w:hyperlink>
      <w:r>
        <w:rPr>
          <w:rFonts w:eastAsia="Arial" w:cs="Arial" w:ascii="Arial" w:hAnsi="Arial"/>
          <w:sz w:val="22"/>
          <w:szCs w:val="22"/>
        </w:rPr>
        <w:t>.  Acesso em: 19 setembro 2023.</w:t>
      </w:r>
    </w:p>
    <w:p>
      <w:pPr>
        <w:pStyle w:val="Normal1"/>
        <w:rPr>
          <w:rFonts w:ascii="Arial" w:hAnsi="Arial" w:eastAsia="Arial" w:cs="Arial"/>
          <w:sz w:val="22"/>
          <w:szCs w:val="22"/>
        </w:rPr>
      </w:pPr>
      <w:r>
        <w:rPr>
          <w:rFonts w:eastAsia="Arial" w:cs="Arial" w:ascii="Arial" w:hAnsi="Arial"/>
          <w:sz w:val="22"/>
          <w:szCs w:val="22"/>
        </w:rPr>
      </w:r>
    </w:p>
    <w:p>
      <w:pPr>
        <w:pStyle w:val="Normal1"/>
        <w:jc w:val="both"/>
        <w:rPr>
          <w:rFonts w:ascii="Arial" w:hAnsi="Arial" w:eastAsia="Arial" w:cs="Arial"/>
          <w:sz w:val="22"/>
          <w:szCs w:val="22"/>
        </w:rPr>
      </w:pPr>
      <w:r>
        <w:rPr/>
      </w:r>
    </w:p>
    <w:sectPr>
      <w:headerReference w:type="default" r:id="rId6"/>
      <w:footerReference w:type="default" r:id="rId7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tabs>
        <w:tab w:val="clear" w:pos="720"/>
        <w:tab w:val="right" w:pos="9020" w:leader="none"/>
      </w:tabs>
      <w:rPr>
        <w:rFonts w:ascii="Helvetica Neue" w:hAnsi="Helvetica Neue" w:eastAsia="Helvetica Neue" w:cs="Helvetica Neue"/>
        <w:color w:val="000000"/>
      </w:rPr>
    </w:pPr>
    <w:r>
      <w:rPr>
        <w:rFonts w:eastAsia="Helvetica Neue" w:cs="Helvetica Neue" w:ascii="Helvetica Neue" w:hAnsi="Helvetica Neue"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rPr>
        <w:rFonts w:ascii="Cambria" w:hAnsi="Cambria" w:eastAsia="Cambria" w:cs="Cambria"/>
        <w:color w:val="00000A"/>
      </w:rPr>
    </w:pPr>
    <w:r>
      <w:rPr>
        <w:rFonts w:eastAsia="Cambria" w:cs="Cambria" w:ascii="Cambria" w:hAnsi="Cambria"/>
        <w:color w:val="00000A"/>
      </w:rPr>
      <w:drawing>
        <wp:anchor behindDoc="1" distT="0" distB="0" distL="0" distR="0" simplePos="0" locked="0" layoutInCell="0" allowOverlap="1" relativeHeight="4">
          <wp:simplePos x="0" y="0"/>
          <wp:positionH relativeFrom="page">
            <wp:posOffset>900430</wp:posOffset>
          </wp:positionH>
          <wp:positionV relativeFrom="page">
            <wp:posOffset>-85725</wp:posOffset>
          </wp:positionV>
          <wp:extent cx="7556500" cy="1115060"/>
          <wp:effectExtent l="0" t="0" r="0" b="0"/>
          <wp:wrapNone/>
          <wp:docPr id="2" name="image1.jpg" descr="Cabeçalho SBS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Cabeçalho SBSS-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1855" t="-9387" r="-11855" b="9387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11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keepLines/>
      <w:spacing w:lineRule="auto" w:line="240" w:before="480" w:after="12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 w:val="true"/>
      <w:keepLines/>
      <w:spacing w:lineRule="auto" w:line="240" w:before="240" w:after="40"/>
    </w:pPr>
    <w:rPr>
      <w:b/>
    </w:rPr>
  </w:style>
  <w:style w:type="paragraph" w:styleId="Ttulo5">
    <w:name w:val="Heading 5"/>
    <w:basedOn w:val="Normal1"/>
    <w:next w:val="Normal1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Ttulo6">
    <w:name w:val="Heading 6"/>
    <w:basedOn w:val="Normal1"/>
    <w:next w:val="Normal1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1" w:default="1">
    <w:name w:val="LO-normal"/>
    <w:qFormat/>
    <w:pPr>
      <w:widowControl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Rodap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ainfo.inia.uy/digital/bitstream/item/8484/1/ST80-p.113-127.pdf" TargetMode="External"/><Relationship Id="rId4" Type="http://schemas.openxmlformats.org/officeDocument/2006/relationships/hyperlink" Target="https://doi.org/10.1590/S0103-84782000000400008" TargetMode="External"/><Relationship Id="rId5" Type="http://schemas.openxmlformats.org/officeDocument/2006/relationships/hyperlink" Target="http://www.faed.udesc.br/arquivos/id_submenu/1167/cosme_polese.pdf" TargetMode=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LibreOffice/7.2.1.2$Windows_X86_64 LibreOffice_project/87b77fad49947c1441b67c559c339af8f3517e22</Application>
  <AppVersion>15.0000</AppVersion>
  <Pages>2</Pages>
  <Words>1280</Words>
  <Characters>7502</Characters>
  <CharactersWithSpaces>8782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revision>0</cp:revision>
  <dc:subject/>
  <dc:title/>
</cp:coreProperties>
</file>