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eastAsia="Arial" w:cs="Arial"/>
          <w:color w:val="000000"/>
          <w:sz w:val="28"/>
          <w:szCs w:val="28"/>
          <w:u w:val="none" w:color="000000"/>
          <w:lang w:val="pt-BR"/>
        </w:rPr>
      </w:pPr>
      <w:r>
        <w:rPr>
          <w:rFonts w:ascii="Arial" w:hAnsi="Arial"/>
          <w:b/>
          <w:bCs/>
          <w:color w:val="000000"/>
          <w:sz w:val="28"/>
          <w:szCs w:val="28"/>
          <w:u w:val="none" w:color="000000"/>
          <w:lang w:val="pt-BR"/>
        </w:rPr>
        <w:t>PRODUÇÃO DE TRIGO PARA PASTEJO EM DIFERENTES ALTURAS DE MANEJO</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center"/>
        <w:rPr>
          <w:rFonts w:ascii="Arial" w:hAnsi="Arial" w:eastAsia="Arial" w:cs="Arial"/>
          <w:color w:val="000000"/>
          <w:sz w:val="20"/>
          <w:szCs w:val="20"/>
          <w:u w:val="none" w:color="000000"/>
          <w:lang w:val="pt-BR"/>
        </w:rPr>
      </w:pPr>
      <w:r>
        <w:rPr>
          <w:rFonts w:ascii="Arial" w:hAnsi="Arial"/>
          <w:color w:val="000000"/>
          <w:sz w:val="20"/>
          <w:szCs w:val="20"/>
          <w:u w:val="single"/>
          <w:lang w:val="pt-BR"/>
        </w:rPr>
        <w:t>André Gustavo Mattos Ferreira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Cleverson Anderson</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Bruna Vieira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Alexandre Lenzi</w:t>
      </w: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Kelen Cristina Basso</w:t>
      </w:r>
      <w:r>
        <w:rPr>
          <w:rFonts w:ascii="Arial" w:hAnsi="Arial"/>
          <w:color w:val="000000"/>
          <w:sz w:val="20"/>
          <w:szCs w:val="20"/>
          <w:u w:val="none" w:color="000000"/>
          <w:vertAlign w:val="superscript"/>
          <w:lang w:val="pt-BR"/>
        </w:rPr>
        <w:t>3</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xml:space="preserve"> Acadêmicos do curso de Agronomia da Universidade Federal de Santa Catarina - UFSC,</w:t>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xml:space="preserve"> Professor na UFSC, Campus de Florianópolis;</w:t>
      </w:r>
      <w:r>
        <w:rPr>
          <w:rFonts w:ascii="Arial" w:hAnsi="Arial"/>
          <w:color w:val="000000"/>
          <w:sz w:val="20"/>
          <w:szCs w:val="20"/>
          <w:u w:val="none" w:color="000000"/>
          <w:vertAlign w:val="superscript"/>
          <w:lang w:val="pt-BR"/>
        </w:rPr>
        <w:t xml:space="preserve"> 3 </w:t>
      </w:r>
      <w:r>
        <w:rPr>
          <w:rFonts w:ascii="Arial" w:hAnsi="Arial"/>
          <w:color w:val="000000"/>
          <w:sz w:val="20"/>
          <w:szCs w:val="20"/>
          <w:u w:val="none" w:color="000000"/>
          <w:lang w:val="pt-BR"/>
        </w:rPr>
        <w:t>Professora na UFSC, Campus de Curitibanos,</w:t>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lang w:val="pt-BR"/>
        </w:rPr>
        <w:t>e-mail: andre18.ferreira@hotmail.com</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eastAsia="Arial" w:cs="Arial"/>
          <w:color w:val="000000"/>
          <w:sz w:val="22"/>
          <w:szCs w:val="22"/>
        </w:rPr>
      </w:pPr>
      <w:r>
        <w:rPr>
          <w:rFonts w:cs="Arial" w:ascii="Arial" w:hAnsi="Arial"/>
          <w:b/>
          <w:bCs/>
          <w:color w:val="000000"/>
          <w:sz w:val="22"/>
          <w:szCs w:val="22"/>
          <w:u w:val="none" w:color="000000"/>
        </w:rPr>
        <w:t>Contribuição para a sociedade</w:t>
      </w:r>
      <w:r>
        <w:rPr>
          <w:rFonts w:cs="Arial" w:ascii="Arial" w:hAnsi="Arial"/>
          <w:color w:val="000000"/>
          <w:sz w:val="22"/>
          <w:szCs w:val="22"/>
          <w:u w:val="none" w:color="000000"/>
        </w:rPr>
        <w:t xml:space="preserve">: </w:t>
      </w:r>
      <w:r>
        <w:rPr>
          <w:rFonts w:eastAsia="Arial" w:cs="Arial" w:ascii="Arial" w:hAnsi="Arial"/>
          <w:color w:val="000000"/>
          <w:sz w:val="22"/>
          <w:szCs w:val="22"/>
        </w:rPr>
        <w:t>Na região de Curitibanos, a disponibilidade de forragem no inverno e durante o vazio forrageiro outonal é limitada.</w:t>
      </w:r>
      <w:r>
        <w:rPr>
          <w:rFonts w:eastAsia="Arial" w:cs="Arial" w:ascii="Arial" w:hAnsi="Arial"/>
          <w:color w:val="374151"/>
          <w:sz w:val="22"/>
          <w:szCs w:val="22"/>
        </w:rPr>
        <w:t xml:space="preserve"> </w:t>
      </w:r>
      <w:r>
        <w:rPr>
          <w:rFonts w:eastAsia="Arial" w:cs="Arial" w:ascii="Arial" w:hAnsi="Arial"/>
          <w:color w:val="000000"/>
          <w:sz w:val="22"/>
          <w:szCs w:val="22"/>
        </w:rPr>
        <w:t>A produção de pastagens depende principalmente, de aveia e azevém, tornando vital a diversificação com espécies que possam otimizar a distribuição da forragem. Uma alternativa poderia ser o uso do trigo para pastejo. Assim, este estudo objetivou determinar parâmetros de produção, como crescimento diário e composição da forragem, folhas, colmos e material morto do cultivar Lenox. O trigo para pastejo mostrou-</w:t>
      </w:r>
      <w:r>
        <w:rPr>
          <w:rFonts w:eastAsia="Arial" w:cs="Arial" w:ascii="Arial" w:hAnsi="Arial"/>
          <w:sz w:val="22"/>
          <w:szCs w:val="22"/>
        </w:rPr>
        <w:t>se viável</w:t>
      </w:r>
      <w:r>
        <w:rPr>
          <w:rFonts w:eastAsia="Arial" w:cs="Arial" w:ascii="Arial" w:hAnsi="Arial"/>
          <w:color w:val="000000"/>
          <w:sz w:val="22"/>
          <w:szCs w:val="22"/>
        </w:rPr>
        <w:t xml:space="preserve"> tanto para uso em lotação rotacionada quanto em </w:t>
      </w:r>
      <w:r>
        <w:rPr>
          <w:rFonts w:eastAsia="Arial" w:cs="Arial" w:ascii="Arial" w:hAnsi="Arial"/>
          <w:sz w:val="22"/>
          <w:szCs w:val="22"/>
        </w:rPr>
        <w:t>lotação contínua</w:t>
      </w:r>
      <w:r>
        <w:rPr>
          <w:rFonts w:eastAsia="Arial" w:cs="Arial" w:ascii="Arial" w:hAnsi="Arial"/>
          <w:color w:val="000000"/>
          <w:sz w:val="22"/>
          <w:szCs w:val="22"/>
        </w:rPr>
        <w:t xml:space="preserve">. O manejo com a manutenção de altura da parcela a 20 cm </w:t>
      </w:r>
      <w:r>
        <w:rPr>
          <w:rFonts w:eastAsia="Arial" w:cs="Arial" w:ascii="Arial" w:hAnsi="Arial"/>
          <w:sz w:val="22"/>
          <w:szCs w:val="22"/>
        </w:rPr>
        <w:t>demonstrou</w:t>
      </w:r>
      <w:r>
        <w:rPr>
          <w:rFonts w:eastAsia="Arial" w:cs="Arial" w:ascii="Arial" w:hAnsi="Arial"/>
          <w:color w:val="000000"/>
          <w:sz w:val="22"/>
          <w:szCs w:val="22"/>
        </w:rPr>
        <w:t xml:space="preserve"> alta produção de forragem total, enquanto o trigo manejado em lotação rotacionada com 25 cm de altura e resíduo de 15 cm apresentou ótima relação entre massa de folhas e de colmos.</w:t>
      </w:r>
    </w:p>
    <w:p>
      <w:pPr>
        <w:pStyle w:val="Normal"/>
        <w:jc w:val="both"/>
        <w:rPr/>
      </w:pPr>
      <w: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Palavras-chave</w:t>
      </w:r>
      <w:r>
        <w:rPr>
          <w:rFonts w:cs="Arial" w:ascii="Arial" w:hAnsi="Arial"/>
          <w:color w:val="000000"/>
          <w:sz w:val="22"/>
          <w:szCs w:val="22"/>
          <w:u w:val="none" w:color="000000"/>
          <w:lang w:val="pt-BR"/>
        </w:rPr>
        <w:t xml:space="preserve">: </w:t>
      </w:r>
      <w:r>
        <w:rPr>
          <w:rFonts w:cs="Arial" w:ascii="Arial" w:hAnsi="Arial"/>
          <w:color w:val="000000"/>
          <w:sz w:val="22"/>
          <w:szCs w:val="22"/>
          <w:lang w:val="pt-BR"/>
        </w:rPr>
        <w:t xml:space="preserve">Trigo cv Lenox, lotação continua, lotação intermitente, </w:t>
      </w:r>
      <w:r>
        <w:rPr>
          <w:rFonts w:cs="Arial" w:ascii="Arial" w:hAnsi="Arial"/>
          <w:i/>
          <w:iCs/>
          <w:sz w:val="22"/>
          <w:szCs w:val="22"/>
          <w:shd w:fill="FFFFFF" w:val="clear"/>
          <w:lang w:val="pt-BR"/>
        </w:rPr>
        <w:t>Triticum aestivum L.</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r>
    </w:p>
    <w:p>
      <w:pPr>
        <w:pStyle w:val="NormalWeb"/>
        <w:spacing w:beforeAutospacing="0" w:before="0" w:afterAutospacing="0" w:after="0"/>
        <w:jc w:val="both"/>
        <w:rPr/>
      </w:pPr>
      <w:r>
        <w:rPr>
          <w:rFonts w:cs="Arial" w:ascii="Arial" w:hAnsi="Arial"/>
          <w:b/>
          <w:bCs/>
          <w:color w:val="000000"/>
          <w:sz w:val="22"/>
          <w:szCs w:val="22"/>
          <w:u w:val="none" w:color="000000"/>
        </w:rPr>
        <w:t>Introdução:</w:t>
      </w:r>
      <w:r>
        <w:rPr>
          <w:rFonts w:cs="Arial" w:ascii="Arial" w:hAnsi="Arial"/>
          <w:sz w:val="22"/>
          <w:szCs w:val="22"/>
        </w:rPr>
        <w:t xml:space="preserve"> </w:t>
      </w:r>
      <w:r>
        <w:rPr>
          <w:rFonts w:cs="Arial" w:ascii="Arial" w:hAnsi="Arial"/>
          <w:color w:val="000000"/>
          <w:sz w:val="22"/>
          <w:szCs w:val="22"/>
        </w:rPr>
        <w:t>Na região sul do Brasil, são frequentes a ocorrência de desequilíbrios nutricionais nos rebanhos devido à irregularidade na produção de forragem durante a estação fria, em função da redução na quantidade e qualidade disponível (WENDT et al., 2006). A utilização de cereais de inverno na alimentação animal, durante períodos problemáticos como o vazio forrageiro, pode promover melhorias no rendimento animal (BORTOLINI et al., 2004). Neste sentido, o experimento foi realizado com intuito de diversificar a produção de forrageiras de inverno no município de Curitibanos-SC, utilizando como alternativa, um cultivar de trigo para pastejo. Por ser um material pouco conhecido, esta pesquisa teve por objetivo avaliar o desempenho do cultivar Lenox, de trigo para pastejo, em diferentes manejos de altura.</w:t>
      </w:r>
    </w:p>
    <w:p>
      <w:pPr>
        <w:pStyle w:val="Normal"/>
        <w:jc w:val="both"/>
        <w:rPr>
          <w:rFonts w:ascii="Arial" w:hAnsi="Arial" w:cs="Arial"/>
          <w:color w:val="000000" w:themeColor="text1"/>
          <w:sz w:val="22"/>
          <w:szCs w:val="22"/>
        </w:rPr>
      </w:pPr>
      <w:r>
        <w:rPr>
          <w:rFonts w:cs="Arial" w:ascii="Arial" w:hAnsi="Arial"/>
          <w:color w:val="000000" w:themeColor="text1"/>
          <w:sz w:val="22"/>
          <w:szCs w:val="22"/>
        </w:rPr>
      </w:r>
    </w:p>
    <w:p>
      <w:pPr>
        <w:pStyle w:val="LOnormal"/>
        <w:jc w:val="both"/>
        <w:rPr>
          <w:rFonts w:ascii="Arial" w:hAnsi="Arial" w:cs="Arial"/>
          <w:sz w:val="22"/>
          <w:szCs w:val="22"/>
          <w:lang w:val="pt-BR"/>
        </w:rPr>
      </w:pPr>
      <w:bookmarkStart w:id="0" w:name="_headingh.30j0zll"/>
      <w:bookmarkEnd w:id="0"/>
      <w:r>
        <w:rPr>
          <w:rFonts w:cs="Arial" w:ascii="Arial" w:hAnsi="Arial"/>
          <w:b/>
          <w:bCs/>
          <w:color w:val="000000"/>
          <w:sz w:val="22"/>
          <w:szCs w:val="22"/>
          <w:u w:val="none" w:color="000000"/>
          <w:lang w:val="pt-BR"/>
        </w:rPr>
        <w:t>Material e métodos</w:t>
      </w:r>
      <w:r>
        <w:rPr>
          <w:rFonts w:eastAsia="Times New Roman" w:cs="Arial" w:ascii="Arial" w:hAnsi="Arial"/>
          <w:sz w:val="22"/>
          <w:szCs w:val="22"/>
          <w:lang w:val="pt-BR"/>
        </w:rPr>
        <w:t xml:space="preserve"> </w:t>
      </w:r>
      <w:r>
        <w:rPr>
          <w:rFonts w:cs="Arial" w:ascii="Arial" w:hAnsi="Arial"/>
          <w:color w:val="000000"/>
          <w:sz w:val="22"/>
          <w:szCs w:val="22"/>
          <w:lang w:val="pt-BR"/>
        </w:rPr>
        <w:t>O experimento foi conduzido na fazenda experimental da Universidade Federal de Santa Catarina, Campus de Curitibanos, altitude média de 987m, em uma região de estações bem definidas, com temperaturas médias entre 15</w:t>
      </w:r>
      <w:r>
        <w:rPr>
          <w:rFonts w:cs="Arial" w:ascii="Arial" w:hAnsi="Arial"/>
          <w:color w:val="000000"/>
          <w:sz w:val="13"/>
          <w:szCs w:val="13"/>
          <w:vertAlign w:val="superscript"/>
          <w:lang w:val="pt-BR"/>
        </w:rPr>
        <w:t>0</w:t>
      </w:r>
      <w:r>
        <w:rPr>
          <w:rFonts w:cs="Arial" w:ascii="Arial" w:hAnsi="Arial"/>
          <w:color w:val="000000"/>
          <w:sz w:val="22"/>
          <w:szCs w:val="22"/>
          <w:lang w:val="pt-BR"/>
        </w:rPr>
        <w:t>C a 25</w:t>
      </w:r>
      <w:r>
        <w:rPr>
          <w:rFonts w:cs="Arial" w:ascii="Arial" w:hAnsi="Arial"/>
          <w:color w:val="000000"/>
          <w:sz w:val="13"/>
          <w:szCs w:val="13"/>
          <w:vertAlign w:val="superscript"/>
          <w:lang w:val="pt-BR"/>
        </w:rPr>
        <w:t>0</w:t>
      </w:r>
      <w:r>
        <w:rPr>
          <w:rFonts w:cs="Arial" w:ascii="Arial" w:hAnsi="Arial"/>
          <w:color w:val="000000"/>
          <w:sz w:val="22"/>
          <w:szCs w:val="22"/>
          <w:lang w:val="pt-BR"/>
        </w:rPr>
        <w:t>C durante todo ano,</w:t>
      </w:r>
      <w:r>
        <w:rPr>
          <w:rFonts w:cs="Arial" w:ascii="Arial" w:hAnsi="Arial"/>
          <w:sz w:val="22"/>
          <w:szCs w:val="22"/>
          <w:lang w:val="pt-BR"/>
        </w:rPr>
        <w:t xml:space="preserve"> com distribuição de chuva ao longo do ano ao entorno de 1676 mm, caracterizada pelo tipo climático Cfb – clima subtropical úmido pela classificação de Köeppen. O solo que foi conduzido o experimento é classificado como Cambissolo Háplico de textura argilosa. O delineamento experimental utilizado foi o de blocos inteiramente casualizados (DIC), com quatro repetições e quatro tratamentos, sendo os tratamentos formados por diferentes arranjos entre tipo de pastejo e alturas de manejo: 25/15– Simulação de lotação rotacionada (LR) com altura de entrada de 25 cm e resíduo de 15 cm ; 25/7 – Simulação de lotação rotacionada (LR) com altura de entrada de 25 cm e resíduo de 7 cm ; 10 – Simulação de lotação contínua (LC) com altura de manutenção de 10 cm; 20 – Simulação de lotação contínua (LC)  com altura de manutenção de 20cm. A pastagem utilizada em todos os tratamentos foi o cultivar de trigo TBIO Lenox fornecida pela empresa Biotrigo Genética e Nutrição Animal, semeada em meados de abril de 2022. Realizou-se uma adubação nitrogenada de 50 kg de N.ha</w:t>
      </w:r>
      <w:r>
        <w:rPr>
          <w:rFonts w:cs="Arial" w:ascii="Arial" w:hAnsi="Arial"/>
          <w:sz w:val="22"/>
          <w:szCs w:val="22"/>
          <w:vertAlign w:val="superscript"/>
          <w:lang w:val="pt-BR"/>
        </w:rPr>
        <w:t>-1</w:t>
      </w:r>
      <w:r>
        <w:rPr>
          <w:rFonts w:cs="Arial" w:ascii="Arial" w:hAnsi="Arial"/>
          <w:sz w:val="22"/>
          <w:szCs w:val="22"/>
          <w:lang w:val="pt-BR"/>
        </w:rPr>
        <w:t xml:space="preserve"> na forma de uréia, na fase de perfilhamento. A taxa de semeadura foi de 120 kg de sementes.ha</w:t>
      </w:r>
      <w:r>
        <w:rPr>
          <w:rFonts w:cs="Arial" w:ascii="Arial" w:hAnsi="Arial"/>
          <w:sz w:val="22"/>
          <w:szCs w:val="22"/>
          <w:vertAlign w:val="superscript"/>
          <w:lang w:val="pt-BR"/>
        </w:rPr>
        <w:t>-1</w:t>
      </w:r>
      <w:r>
        <w:rPr>
          <w:rFonts w:cs="Arial" w:ascii="Arial" w:hAnsi="Arial"/>
          <w:sz w:val="22"/>
          <w:szCs w:val="22"/>
          <w:lang w:val="pt-BR"/>
        </w:rPr>
        <w:t>. As amostragens se iniciaram com a medição de altura média das parcelas, utilizando uma régua graduada em centímetros. Foram realizadas 10 medições aleatórias em cada parcela, e a média dessas medidas foi utilizada para realizar a coleta da forragem. Nas parcelas com manejo LR as avaliações foram realizadas sempre que as plantas atingiam 25 cm de altura, após a coleta toda a parcela era rebaixada a 15 ou 7 cm de altura. Nas parcelas com altura de 10 e 20 cm, as amostragens eram realizadas a cada 21 dias, essas parcelas foram mantidas por corte nas alturas de meta estabelecidas. Para avaliar a massa de forragem, foi utilizado um retângulo de 0,125 m</w:t>
      </w:r>
      <w:r>
        <w:rPr>
          <w:rFonts w:cs="Arial" w:ascii="Arial" w:hAnsi="Arial"/>
          <w:sz w:val="13"/>
          <w:szCs w:val="13"/>
          <w:vertAlign w:val="superscript"/>
          <w:lang w:val="pt-BR"/>
        </w:rPr>
        <w:t>2</w:t>
      </w:r>
      <w:r>
        <w:rPr>
          <w:rFonts w:cs="Arial" w:ascii="Arial" w:hAnsi="Arial"/>
          <w:sz w:val="22"/>
          <w:szCs w:val="22"/>
          <w:lang w:val="pt-BR"/>
        </w:rPr>
        <w:t>, e todo o pasto contido dentro desse quadro foi cortado rente ao solo. Tesouras de poda foram utilizadas para o rebaixamento dos pastos. Após as coletas, as amostras foram imediatamente levadas ao laboratório e pesadas. Duas subamostras foram retiradas: a primeira foi pesada novamente e então seca em estufa, enquanto a segunda foi estratificada em lâmina foliar, colmo mais bainha e material morto, sendo posteriormente também submetida à secagem em estufa. Os pesos foram convertidos para calcular a produção total de forragem (PF), taxa de acúmulo (TA, acúmulo dividido pelo período de rebrota), massa de folhas (MF), colmo (MC) e material morto (MM) média dos cortes, todos expressos em kg de matéria seca por hectare (kg de MS.ha</w:t>
      </w:r>
      <w:r>
        <w:rPr>
          <w:rFonts w:cs="Arial" w:ascii="Arial" w:hAnsi="Arial"/>
          <w:sz w:val="22"/>
          <w:szCs w:val="22"/>
          <w:vertAlign w:val="superscript"/>
          <w:lang w:val="pt-BR"/>
        </w:rPr>
        <w:t>-1</w:t>
      </w:r>
      <w:r>
        <w:rPr>
          <w:rFonts w:cs="Arial" w:ascii="Arial" w:hAnsi="Arial"/>
          <w:sz w:val="22"/>
          <w:szCs w:val="22"/>
          <w:lang w:val="pt-BR"/>
        </w:rPr>
        <w:t>). Os dados obtidos foram submetidos à análise de variância e as médias dos tratamentos foram comparadas pelo teste de Tukey a 5% de significância e utilizando o programa SISVAR (FERREIRA, 2011)</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Web"/>
        <w:spacing w:beforeAutospacing="0" w:before="0" w:afterAutospacing="0" w:after="0"/>
        <w:jc w:val="both"/>
        <w:rPr>
          <w:rFonts w:ascii="Arial" w:hAnsi="Arial" w:cs="Arial"/>
          <w:color w:val="000000"/>
          <w:sz w:val="22"/>
          <w:szCs w:val="22"/>
        </w:rPr>
      </w:pPr>
      <w:r>
        <w:rPr>
          <w:rFonts w:cs="Arial" w:ascii="Arial" w:hAnsi="Arial"/>
          <w:b/>
          <w:bCs/>
          <w:color w:val="000000"/>
          <w:sz w:val="22"/>
          <w:szCs w:val="22"/>
          <w:u w:val="none" w:color="000000"/>
        </w:rPr>
        <w:t>Resultados e discussões:</w:t>
      </w:r>
      <w:r>
        <w:rPr>
          <w:rFonts w:cs="Arial" w:ascii="Arial" w:hAnsi="Arial"/>
          <w:color w:val="000000"/>
          <w:sz w:val="22"/>
          <w:szCs w:val="22"/>
          <w:u w:val="none" w:color="000000"/>
        </w:rPr>
        <w:t xml:space="preserve"> </w:t>
      </w:r>
      <w:r>
        <w:rPr>
          <w:rFonts w:cs="Arial" w:ascii="Arial" w:hAnsi="Arial"/>
          <w:color w:val="000000"/>
          <w:sz w:val="22"/>
          <w:szCs w:val="22"/>
        </w:rPr>
        <w:t>Houve efeito dos diferentes manejos da pastagem na produção de forragem e nos componentes morfológicos do trigo. As parcelas mantidas a 20cm e aquelas com manejo de 25/15 cm apresentaram maiores resultados de forragem total.  O mesmo ocorreu para a taxa de acúmulo (Tabela 1).</w:t>
      </w:r>
    </w:p>
    <w:p>
      <w:pPr>
        <w:pStyle w:val="NormalWeb"/>
        <w:spacing w:beforeAutospacing="0" w:before="0" w:afterAutospacing="0" w:after="0"/>
        <w:jc w:val="both"/>
        <w:rPr>
          <w:sz w:val="22"/>
          <w:szCs w:val="22"/>
        </w:rPr>
      </w:pPr>
      <w:r>
        <w:rPr>
          <w:sz w:val="22"/>
          <w:szCs w:val="22"/>
        </w:rPr>
      </w:r>
    </w:p>
    <w:p>
      <w:pPr>
        <w:pStyle w:val="LOnormal"/>
        <w:jc w:val="both"/>
        <w:rPr>
          <w:rFonts w:ascii="Arial" w:hAnsi="Arial"/>
          <w:bCs/>
          <w:color w:val="000000"/>
          <w:sz w:val="22"/>
          <w:szCs w:val="22"/>
          <w:u w:val="none" w:color="000000"/>
          <w:lang w:val="pt-BR"/>
        </w:rPr>
      </w:pPr>
      <w:r>
        <w:rPr>
          <w:rFonts w:ascii="Arial" w:hAnsi="Arial"/>
          <w:b/>
          <w:bCs/>
          <w:color w:val="000000"/>
          <w:sz w:val="22"/>
          <w:szCs w:val="22"/>
          <w:u w:val="none" w:color="000000"/>
          <w:lang w:val="pt-BR"/>
        </w:rPr>
        <w:t>Tabela 1.</w:t>
      </w:r>
      <w:r>
        <w:rPr>
          <w:rFonts w:ascii="Arial" w:hAnsi="Arial"/>
          <w:bCs/>
          <w:color w:val="000000"/>
          <w:sz w:val="22"/>
          <w:szCs w:val="22"/>
          <w:u w:val="none" w:color="000000"/>
          <w:lang w:val="pt-BR"/>
        </w:rPr>
        <w:t xml:space="preserve"> Produção de forragem total e massa de componentes morfológicos (médias entre cortes) de trigo para pastejo cv. Lenox, manejado em diferentes alturas em Curitibanos-SC.</w:t>
      </w:r>
    </w:p>
    <w:tbl>
      <w:tblPr>
        <w:tblW w:w="864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40"/>
        <w:gridCol w:w="1441"/>
        <w:gridCol w:w="1441"/>
        <w:gridCol w:w="1441"/>
        <w:gridCol w:w="1440"/>
        <w:gridCol w:w="1441"/>
      </w:tblGrid>
      <w:tr>
        <w:trPr/>
        <w:tc>
          <w:tcPr>
            <w:tcW w:w="1440" w:type="dxa"/>
            <w:tcBorders>
              <w:bottom w:val="single" w:sz="4" w:space="0" w:color="000000"/>
            </w:tcBorders>
          </w:tcPr>
          <w:p>
            <w:pPr>
              <w:pStyle w:val="Normal"/>
              <w:widowControl w:val="false"/>
              <w:jc w:val="both"/>
              <w:rPr>
                <w:rFonts w:ascii="Arial" w:hAnsi="Arial" w:cs="Arial"/>
                <w:color w:val="000000" w:themeColor="text1"/>
                <w:sz w:val="22"/>
                <w:szCs w:val="22"/>
              </w:rPr>
            </w:pPr>
            <w:r>
              <w:rPr>
                <w:rFonts w:cs="Arial" w:ascii="Arial" w:hAnsi="Arial"/>
                <w:color w:val="000000" w:themeColor="text1"/>
                <w:sz w:val="22"/>
                <w:szCs w:val="22"/>
              </w:rPr>
            </w:r>
          </w:p>
        </w:tc>
        <w:tc>
          <w:tcPr>
            <w:tcW w:w="7204" w:type="dxa"/>
            <w:gridSpan w:val="5"/>
            <w:tcBorders>
              <w:bottom w:val="single" w:sz="4" w:space="0" w:color="000000"/>
            </w:tcBorders>
          </w:tcPr>
          <w:p>
            <w:pPr>
              <w:pStyle w:val="Normal"/>
              <w:widowControl w:val="false"/>
              <w:jc w:val="both"/>
              <w:rPr>
                <w:rFonts w:ascii="Arial" w:hAnsi="Arial" w:cs="Arial"/>
                <w:color w:val="000000" w:themeColor="text1"/>
                <w:sz w:val="22"/>
                <w:szCs w:val="22"/>
              </w:rPr>
            </w:pPr>
            <w:r>
              <w:rPr>
                <w:rFonts w:cs="Arial" w:ascii="Arial" w:hAnsi="Arial"/>
                <w:color w:val="000000" w:themeColor="text1"/>
                <w:sz w:val="22"/>
                <w:szCs w:val="22"/>
              </w:rPr>
            </w:r>
          </w:p>
        </w:tc>
      </w:tr>
      <w:tr>
        <w:trPr/>
        <w:tc>
          <w:tcPr>
            <w:tcW w:w="1440" w:type="dxa"/>
            <w:vMerge w:val="restart"/>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Tratamentos</w:t>
            </w:r>
          </w:p>
          <w:p>
            <w:pPr>
              <w:pStyle w:val="Normal"/>
              <w:widowControl w:val="false"/>
              <w:jc w:val="center"/>
              <w:rPr>
                <w:rFonts w:ascii="Arial" w:hAnsi="Arial" w:cs="Arial"/>
                <w:color w:val="000000" w:themeColor="text1"/>
                <w:sz w:val="20"/>
                <w:szCs w:val="20"/>
              </w:rPr>
            </w:pPr>
            <w:r>
              <w:rPr>
                <w:rFonts w:cs="Arial" w:ascii="Arial" w:hAnsi="Arial"/>
                <w:b/>
                <w:bCs/>
                <w:color w:val="000000" w:themeColor="text1"/>
                <w:sz w:val="20"/>
                <w:szCs w:val="20"/>
              </w:rPr>
              <w:t>(cm)</w:t>
            </w:r>
          </w:p>
        </w:tc>
        <w:tc>
          <w:tcPr>
            <w:tcW w:w="7204" w:type="dxa"/>
            <w:gridSpan w:val="5"/>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Variáveis</w:t>
            </w:r>
          </w:p>
        </w:tc>
      </w:tr>
      <w:tr>
        <w:trPr/>
        <w:tc>
          <w:tcPr>
            <w:tcW w:w="1440" w:type="dxa"/>
            <w:vMerge w:val="continue"/>
            <w:tcBorders>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r>
          </w:p>
        </w:tc>
        <w:tc>
          <w:tcPr>
            <w:tcW w:w="1441" w:type="dxa"/>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P.F</w:t>
            </w:r>
          </w:p>
        </w:tc>
        <w:tc>
          <w:tcPr>
            <w:tcW w:w="1441" w:type="dxa"/>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T.A.</w:t>
            </w:r>
          </w:p>
        </w:tc>
        <w:tc>
          <w:tcPr>
            <w:tcW w:w="1441" w:type="dxa"/>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MF</w:t>
            </w:r>
          </w:p>
        </w:tc>
        <w:tc>
          <w:tcPr>
            <w:tcW w:w="1440" w:type="dxa"/>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MC</w:t>
            </w:r>
          </w:p>
        </w:tc>
        <w:tc>
          <w:tcPr>
            <w:tcW w:w="1441" w:type="dxa"/>
            <w:tcBorders>
              <w:top w:val="single" w:sz="4" w:space="0" w:color="000000"/>
              <w:bottom w:val="single" w:sz="4" w:space="0" w:color="000000"/>
            </w:tcBorders>
          </w:tcPr>
          <w:p>
            <w:pPr>
              <w:pStyle w:val="Normal"/>
              <w:widowControl w:val="false"/>
              <w:jc w:val="center"/>
              <w:rPr>
                <w:rFonts w:ascii="Arial" w:hAnsi="Arial" w:cs="Arial"/>
                <w:b/>
                <w:b/>
                <w:bCs/>
                <w:color w:val="000000" w:themeColor="text1"/>
                <w:sz w:val="20"/>
                <w:szCs w:val="20"/>
              </w:rPr>
            </w:pPr>
            <w:r>
              <w:rPr>
                <w:rFonts w:cs="Arial" w:ascii="Arial" w:hAnsi="Arial"/>
                <w:b/>
                <w:bCs/>
                <w:color w:val="000000" w:themeColor="text1"/>
                <w:sz w:val="20"/>
                <w:szCs w:val="20"/>
              </w:rPr>
              <w:t>MMM</w:t>
            </w:r>
          </w:p>
        </w:tc>
      </w:tr>
      <w:tr>
        <w:trPr/>
        <w:tc>
          <w:tcPr>
            <w:tcW w:w="1440"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25/15</w:t>
            </w:r>
          </w:p>
        </w:tc>
        <w:tc>
          <w:tcPr>
            <w:tcW w:w="1441"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5498,2 ab</w:t>
            </w:r>
          </w:p>
        </w:tc>
        <w:tc>
          <w:tcPr>
            <w:tcW w:w="1441"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64,36 a</w:t>
            </w:r>
          </w:p>
        </w:tc>
        <w:tc>
          <w:tcPr>
            <w:tcW w:w="1441"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946,98 b</w:t>
            </w:r>
          </w:p>
        </w:tc>
        <w:tc>
          <w:tcPr>
            <w:tcW w:w="1440"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105,89 c</w:t>
            </w:r>
          </w:p>
        </w:tc>
        <w:tc>
          <w:tcPr>
            <w:tcW w:w="1441" w:type="dxa"/>
            <w:tcBorders>
              <w:top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31,13 b</w:t>
            </w:r>
          </w:p>
        </w:tc>
      </w:tr>
      <w:tr>
        <w:trPr/>
        <w:tc>
          <w:tcPr>
            <w:tcW w:w="1440"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25/7</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5007,75 b</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44,67 b</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848,04 b</w:t>
            </w:r>
          </w:p>
        </w:tc>
        <w:tc>
          <w:tcPr>
            <w:tcW w:w="1440"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111,57 c</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46,71 b</w:t>
            </w:r>
          </w:p>
        </w:tc>
      </w:tr>
      <w:tr>
        <w:trPr/>
        <w:tc>
          <w:tcPr>
            <w:tcW w:w="1440"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10</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4852,56 b</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43,25 b</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1184,21 b</w:t>
            </w:r>
          </w:p>
        </w:tc>
        <w:tc>
          <w:tcPr>
            <w:tcW w:w="1440"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588,27 b</w:t>
            </w:r>
          </w:p>
        </w:tc>
        <w:tc>
          <w:tcPr>
            <w:tcW w:w="1441" w:type="dxa"/>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381,83 a</w:t>
            </w:r>
          </w:p>
        </w:tc>
      </w:tr>
      <w:tr>
        <w:trPr/>
        <w:tc>
          <w:tcPr>
            <w:tcW w:w="1440"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20</w:t>
            </w:r>
          </w:p>
        </w:tc>
        <w:tc>
          <w:tcPr>
            <w:tcW w:w="1441"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6928,40 a</w:t>
            </w:r>
          </w:p>
        </w:tc>
        <w:tc>
          <w:tcPr>
            <w:tcW w:w="1441"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56,44 ab</w:t>
            </w:r>
          </w:p>
        </w:tc>
        <w:tc>
          <w:tcPr>
            <w:tcW w:w="1441"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1918,54 a</w:t>
            </w:r>
          </w:p>
        </w:tc>
        <w:tc>
          <w:tcPr>
            <w:tcW w:w="1440"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1123,69 a</w:t>
            </w:r>
          </w:p>
        </w:tc>
        <w:tc>
          <w:tcPr>
            <w:tcW w:w="1441" w:type="dxa"/>
            <w:tcBorders>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517,67 a</w:t>
            </w:r>
          </w:p>
        </w:tc>
      </w:tr>
      <w:tr>
        <w:trPr/>
        <w:tc>
          <w:tcPr>
            <w:tcW w:w="1440"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CV%</w:t>
            </w:r>
          </w:p>
        </w:tc>
        <w:tc>
          <w:tcPr>
            <w:tcW w:w="1441"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12,35</w:t>
            </w:r>
          </w:p>
        </w:tc>
        <w:tc>
          <w:tcPr>
            <w:tcW w:w="1441"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15,76</w:t>
            </w:r>
          </w:p>
        </w:tc>
        <w:tc>
          <w:tcPr>
            <w:tcW w:w="1441"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19,71</w:t>
            </w:r>
          </w:p>
        </w:tc>
        <w:tc>
          <w:tcPr>
            <w:tcW w:w="1440"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37,66</w:t>
            </w:r>
          </w:p>
        </w:tc>
        <w:tc>
          <w:tcPr>
            <w:tcW w:w="1441" w:type="dxa"/>
            <w:tcBorders>
              <w:top w:val="single" w:sz="4" w:space="0" w:color="000000"/>
              <w:bottom w:val="single" w:sz="4" w:space="0" w:color="000000"/>
            </w:tcBorders>
          </w:tcPr>
          <w:p>
            <w:pPr>
              <w:pStyle w:val="Normal"/>
              <w:widowControl w:val="false"/>
              <w:jc w:val="center"/>
              <w:rPr>
                <w:rFonts w:ascii="Arial" w:hAnsi="Arial" w:cs="Arial"/>
                <w:color w:val="000000" w:themeColor="text1"/>
                <w:sz w:val="20"/>
                <w:szCs w:val="20"/>
              </w:rPr>
            </w:pPr>
            <w:r>
              <w:rPr>
                <w:rFonts w:cs="Arial" w:ascii="Arial" w:hAnsi="Arial"/>
                <w:color w:val="000000" w:themeColor="text1"/>
                <w:sz w:val="20"/>
                <w:szCs w:val="20"/>
              </w:rPr>
              <w:t>42,00</w:t>
            </w:r>
          </w:p>
        </w:tc>
      </w:tr>
    </w:tbl>
    <w:p>
      <w:pPr>
        <w:pStyle w:val="LOnormal"/>
        <w:jc w:val="both"/>
        <w:rPr>
          <w:rFonts w:ascii="Arial" w:hAnsi="Arial"/>
          <w:color w:val="000000"/>
          <w:sz w:val="20"/>
          <w:szCs w:val="20"/>
          <w:u w:val="none" w:color="000000"/>
          <w:lang w:val="pt-BR"/>
        </w:rPr>
      </w:pPr>
      <w:r>
        <w:rPr>
          <w:rFonts w:ascii="Arial" w:hAnsi="Arial"/>
          <w:color w:val="000000"/>
          <w:sz w:val="20"/>
          <w:szCs w:val="20"/>
          <w:u w:val="none" w:color="000000"/>
          <w:lang w:val="pt-BR"/>
        </w:rPr>
        <w:t>PF: produção de forragem total (kg de MS/ha); TA: taxa de acúmulo (kg de MS.ha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dia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MF: massa seca de folhas (kg de folha MS.ha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dia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MC: massa seca de colmos (kg de MS de colmo há</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MM: massa seca de material morto; CV%: coeficiente de variação; Médias seguidas de mesma letra minúscula na coluna não diferem entre si, pelo teste de Tukey a 5% de significância.</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r>
    </w:p>
    <w:p>
      <w:pPr>
        <w:pStyle w:val="LOnormal"/>
        <w:jc w:val="both"/>
        <w:rPr>
          <w:rFonts w:ascii="Arial" w:hAnsi="Arial" w:cs="Arial"/>
          <w:color w:val="000000"/>
          <w:sz w:val="22"/>
          <w:szCs w:val="22"/>
          <w:lang w:val="pt-BR"/>
        </w:rPr>
      </w:pPr>
      <w:r>
        <w:rPr>
          <w:rFonts w:cs="Arial" w:ascii="Arial" w:hAnsi="Arial"/>
          <w:color w:val="000000"/>
          <w:sz w:val="22"/>
          <w:szCs w:val="22"/>
          <w:lang w:val="pt-BR"/>
        </w:rPr>
        <w:t>É importante ressaltar que no tratamento 25/15 cm foi possível realizar seis cortes, enquanto que no tratamento 25/7 cm foram realizados quatro cortes, ou seja, o manejo da altura de resíduo é de extrema importância para que se obtenha melhor produção e taxa de acúmulo. Em relação à média da massa de folhas obtidas nas avaliações, plantas mantidas a 20cm em lotação contínua apresentaram os maiores resultados, o que ocorreu também para a massa de colmos e de material morto. A massa de colmos e de material morto foram menores nos tratamentos em lotação rotacionada, tanto em 25/15 quanto 25/7 cm, o que pode ser, dentro do ponto de vista nutricional, um efeito benéfico, pois são componentes de baixo valor nutritivo. De acordo com Facco et al. (2020) que exploraram alternativas de consorciação para o cultivo de TBIO Lenox, esse material apresenta vantagens significativas, principalmente devido à alta proporção de lâminas foliares, teor de proteína bruta em torno de 21,9%, com um média de 66,6% de folhas. Os resultados demonstram que o manejo por altura é essencial para otimizar a produção de forragem, tanto em quantidade quanto em melhoria dos componentes estruturais e que o trigo para pastejo pode ser uma boa opção para diversificar as pastagens de inverno.</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t xml:space="preserve">                </w:t>
      </w:r>
    </w:p>
    <w:p>
      <w:pPr>
        <w:pStyle w:val="LOnormal"/>
        <w:jc w:val="both"/>
        <w:rPr>
          <w:rFonts w:ascii="Arial" w:hAnsi="Arial" w:cs="Arial"/>
          <w:color w:val="000000"/>
          <w:sz w:val="22"/>
          <w:szCs w:val="22"/>
          <w:lang w:val="pt-BR"/>
        </w:rPr>
      </w:pPr>
      <w:r>
        <w:rPr>
          <w:rFonts w:cs="Arial" w:ascii="Arial" w:hAnsi="Arial"/>
          <w:b/>
          <w:bCs/>
          <w:color w:val="000000"/>
          <w:sz w:val="22"/>
          <w:szCs w:val="22"/>
          <w:u w:val="none" w:color="000000"/>
          <w:lang w:val="pt-BR"/>
        </w:rPr>
        <w:t xml:space="preserve">Conclusão: </w:t>
      </w:r>
      <w:r>
        <w:rPr>
          <w:rFonts w:cs="Arial" w:ascii="Arial" w:hAnsi="Arial"/>
          <w:color w:val="000000"/>
          <w:sz w:val="22"/>
          <w:szCs w:val="22"/>
          <w:lang w:val="pt-BR"/>
        </w:rPr>
        <w:t>Pastos de trigo para pastejo mantidos a 20 cm em lotação contínua e aqueles com 25 cm de entrada e resíduo de 15 cm em lotação rotacionada, proporcionaram maior produção de forragem total, indicando que o cv. Lenox ser utilizado em ambas os tipos de pastejos, desde que as alturas de manejo corretas sejam respeitadas.</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Agradecimento</w:t>
      </w:r>
      <w:r>
        <w:rPr>
          <w:rFonts w:cs="Arial" w:ascii="Arial" w:hAnsi="Arial"/>
          <w:color w:val="000000"/>
          <w:sz w:val="22"/>
          <w:szCs w:val="22"/>
          <w:u w:val="none" w:color="000000"/>
          <w:lang w:val="pt-BR"/>
        </w:rPr>
        <w:t>: Empresa Biotrigo Genética Nutrição Animal e Universidade Federal de Santa Catarina.</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 xml:space="preserve">Referências: </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r>
    </w:p>
    <w:p>
      <w:pPr>
        <w:pStyle w:val="LOnormal"/>
        <w:jc w:val="both"/>
        <w:rPr>
          <w:rFonts w:ascii="Arial" w:hAnsi="Arial" w:cs="Arial"/>
          <w:color w:val="000000"/>
          <w:sz w:val="22"/>
          <w:szCs w:val="22"/>
          <w:lang w:val="pt-BR"/>
        </w:rPr>
      </w:pPr>
      <w:r>
        <w:rPr>
          <w:rFonts w:cs="Arial" w:ascii="Arial" w:hAnsi="Arial"/>
          <w:color w:val="000000"/>
          <w:sz w:val="22"/>
          <w:szCs w:val="22"/>
          <w:u w:val="none" w:color="000000"/>
          <w:lang w:val="pt-BR"/>
        </w:rPr>
        <w:t>BORTOLINI, P.C.; CARVALHO, P. C. F.; DE MORAES. A.; SANDINI, I. Cereais de inverno submetidos ao corte no sistema duplo propósito. Revista Brasileira de Zootecnia, v.33, n.1, p.45-50, 2004. Disponível em:</w:t>
      </w:r>
      <w:r>
        <w:rPr>
          <w:rFonts w:cs="Arial" w:ascii="Arial" w:hAnsi="Arial"/>
          <w:sz w:val="22"/>
          <w:szCs w:val="22"/>
          <w:lang w:val="pt-BR"/>
        </w:rPr>
        <w:t xml:space="preserve"> </w:t>
      </w:r>
      <w:hyperlink r:id="rId2">
        <w:r>
          <w:rPr>
            <w:rStyle w:val="LinkdaInternet"/>
            <w:rFonts w:cs="Arial" w:ascii="Arial" w:hAnsi="Arial"/>
            <w:sz w:val="22"/>
            <w:szCs w:val="22"/>
            <w:u w:val="none"/>
            <w:lang w:val="pt-BR"/>
          </w:rPr>
          <w:t>https://www.scielo.br/j/rbz/a/GpmpQdKkWQtyPk6VbxbM5Hm</w:t>
        </w:r>
      </w:hyperlink>
      <w:r>
        <w:rPr>
          <w:rFonts w:cs="Arial" w:ascii="Arial" w:hAnsi="Arial"/>
          <w:color w:val="000000"/>
          <w:sz w:val="22"/>
          <w:szCs w:val="22"/>
          <w:lang w:val="pt-BR"/>
        </w:rPr>
        <w:t>. Acesso em: 20 de Set. 2023.</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r>
    </w:p>
    <w:p>
      <w:pPr>
        <w:pStyle w:val="LOnormal"/>
        <w:ind w:right="284" w:hanging="0"/>
        <w:jc w:val="both"/>
        <w:rPr>
          <w:rFonts w:ascii="Arial" w:hAnsi="Arial" w:cs="Arial"/>
          <w:sz w:val="22"/>
          <w:szCs w:val="22"/>
          <w:shd w:fill="FFFFFF" w:val="clear"/>
          <w:lang w:val="pt-BR"/>
        </w:rPr>
      </w:pPr>
      <w:r>
        <w:rPr>
          <w:rFonts w:cs="Arial" w:ascii="Arial" w:hAnsi="Arial"/>
          <w:sz w:val="22"/>
          <w:szCs w:val="22"/>
          <w:shd w:fill="FFFFFF" w:val="clear"/>
          <w:lang w:val="pt-BR"/>
        </w:rPr>
        <w:t>FACCO, F. L. B.; FACCO, J. N. M.; MACHADO, J. M.; SILVEIRA. D. Consorciações alternativas para cultivar TBIO Lenox (</w:t>
      </w:r>
      <w:r>
        <w:rPr>
          <w:rFonts w:cs="Arial" w:ascii="Arial" w:hAnsi="Arial"/>
          <w:i/>
          <w:iCs/>
          <w:sz w:val="22"/>
          <w:szCs w:val="22"/>
          <w:shd w:fill="FFFFFF" w:val="clear"/>
          <w:lang w:val="pt-BR"/>
        </w:rPr>
        <w:t>Triticum aestivum L.</w:t>
      </w:r>
      <w:r>
        <w:rPr>
          <w:rFonts w:cs="Arial" w:ascii="Arial" w:hAnsi="Arial"/>
          <w:sz w:val="22"/>
          <w:szCs w:val="22"/>
          <w:shd w:fill="FFFFFF" w:val="clear"/>
          <w:lang w:val="pt-BR"/>
        </w:rPr>
        <w:t xml:space="preserve">) exclusive para pastejo. 22º de dezembro de 2020. Disponível em: </w:t>
      </w:r>
      <w:hyperlink r:id="rId3">
        <w:r>
          <w:rPr>
            <w:rStyle w:val="LinkdaInternet"/>
            <w:rFonts w:cs="Arial" w:ascii="Arial" w:hAnsi="Arial"/>
            <w:sz w:val="22"/>
            <w:szCs w:val="22"/>
            <w:u w:val="none"/>
            <w:shd w:fill="FFFFFF" w:val="clear"/>
            <w:lang w:val="pt-BR"/>
          </w:rPr>
          <w:t>https://rvz.emnuvens.com.br/rvz/article/view/452</w:t>
        </w:r>
      </w:hyperlink>
      <w:r>
        <w:rPr>
          <w:rFonts w:cs="Arial" w:ascii="Arial" w:hAnsi="Arial"/>
          <w:sz w:val="22"/>
          <w:szCs w:val="22"/>
          <w:shd w:fill="FFFFFF" w:val="clear"/>
          <w:lang w:val="pt-BR"/>
        </w:rPr>
        <w:t>. Acesso em: 20 de Set. 2023.</w:t>
      </w:r>
    </w:p>
    <w:p>
      <w:pPr>
        <w:pStyle w:val="LOnormal"/>
        <w:ind w:right="284" w:hanging="0"/>
        <w:jc w:val="both"/>
        <w:rPr>
          <w:rFonts w:ascii="Arial" w:hAnsi="Arial" w:cs="Arial"/>
          <w:sz w:val="22"/>
          <w:szCs w:val="22"/>
          <w:shd w:fill="FFFFFF" w:val="clear"/>
          <w:lang w:val="pt-BR"/>
        </w:rPr>
      </w:pPr>
      <w:r>
        <w:rPr>
          <w:rFonts w:cs="Arial" w:ascii="Arial" w:hAnsi="Arial"/>
          <w:sz w:val="22"/>
          <w:szCs w:val="22"/>
          <w:shd w:fill="FFFFFF" w:val="clear"/>
          <w:lang w:val="pt-BR"/>
        </w:rPr>
      </w:r>
    </w:p>
    <w:p>
      <w:pPr>
        <w:pStyle w:val="LOnormal"/>
        <w:ind w:right="284" w:hanging="0"/>
        <w:jc w:val="both"/>
        <w:rPr>
          <w:rFonts w:ascii="Arial" w:hAnsi="Arial" w:cs="Arial"/>
          <w:sz w:val="22"/>
          <w:szCs w:val="22"/>
          <w:shd w:fill="FFFFFF" w:val="clear"/>
          <w:lang w:val="pt-BR"/>
        </w:rPr>
      </w:pPr>
      <w:r>
        <w:rPr>
          <w:rFonts w:cs="Arial" w:ascii="Arial" w:hAnsi="Arial"/>
          <w:sz w:val="22"/>
          <w:szCs w:val="22"/>
          <w:shd w:fill="FFFFFF" w:val="clear"/>
          <w:lang w:val="pt-BR"/>
        </w:rPr>
        <w:t>FERREIRA, D. F.</w:t>
      </w:r>
      <w:r>
        <w:rPr>
          <w:rFonts w:cs="Arial" w:ascii="Arial" w:hAnsi="Arial"/>
          <w:bCs/>
          <w:sz w:val="22"/>
          <w:szCs w:val="22"/>
          <w:shd w:fill="FFFFFF" w:val="clear"/>
          <w:lang w:val="pt-BR"/>
        </w:rPr>
        <w:t xml:space="preserve"> Sisvar: A computer statistical analysis system</w:t>
      </w:r>
      <w:r>
        <w:rPr>
          <w:rFonts w:cs="Arial" w:ascii="Arial" w:hAnsi="Arial"/>
          <w:sz w:val="22"/>
          <w:szCs w:val="22"/>
          <w:shd w:fill="FFFFFF" w:val="clear"/>
          <w:lang w:val="pt-BR"/>
        </w:rPr>
        <w:t>. Ciência e Agrotecnologia, 35:1039-1042, 2011.</w:t>
      </w:r>
    </w:p>
    <w:p>
      <w:pPr>
        <w:pStyle w:val="LOnormal"/>
        <w:ind w:right="284" w:hanging="0"/>
        <w:jc w:val="both"/>
        <w:rPr>
          <w:rFonts w:ascii="Arial" w:hAnsi="Arial" w:cs="Arial"/>
          <w:sz w:val="22"/>
          <w:szCs w:val="22"/>
          <w:shd w:fill="FFFFFF" w:val="clear"/>
          <w:lang w:val="pt-BR"/>
        </w:rPr>
      </w:pPr>
      <w:r>
        <w:rPr>
          <w:rFonts w:cs="Arial" w:ascii="Arial" w:hAnsi="Arial"/>
          <w:sz w:val="22"/>
          <w:szCs w:val="22"/>
          <w:shd w:fill="FFFFFF" w:val="clear"/>
          <w:lang w:val="pt-BR"/>
        </w:rPr>
      </w:r>
    </w:p>
    <w:p>
      <w:pPr>
        <w:pStyle w:val="LOnormal"/>
        <w:ind w:right="284" w:hanging="0"/>
        <w:jc w:val="both"/>
        <w:rPr>
          <w:rFonts w:ascii="Arial" w:hAnsi="Arial" w:cs="Arial"/>
          <w:sz w:val="22"/>
          <w:szCs w:val="22"/>
          <w:shd w:fill="FFFFFF" w:val="clear"/>
          <w:lang w:val="pt-BR"/>
        </w:rPr>
      </w:pPr>
      <w:r>
        <w:rPr>
          <w:rFonts w:cs="Arial" w:ascii="Arial" w:hAnsi="Arial"/>
          <w:sz w:val="22"/>
          <w:szCs w:val="22"/>
          <w:shd w:fill="FFFFFF" w:val="clear"/>
          <w:lang w:val="pt-BR"/>
        </w:rPr>
        <w:t xml:space="preserve">WENDT, W.; CAETANO, V. da R.; GARCIA, C. A. N. Manejo na cultura do trigo com finalidade de duplo propósito-forragem e grãos. Pelotas: Embrapa Clima Temperado, 2006. 2 p. (Embrapa Clima Temperado, Comunicado técnico, 141). Disponível em: </w:t>
      </w:r>
      <w:hyperlink r:id="rId4">
        <w:r>
          <w:rPr>
            <w:rStyle w:val="LinkdaInternet"/>
            <w:rFonts w:cs="Arial" w:ascii="Arial" w:hAnsi="Arial"/>
            <w:color w:val="000000" w:themeColor="text1"/>
            <w:sz w:val="22"/>
            <w:szCs w:val="22"/>
            <w:u w:val="none"/>
            <w:lang w:val="pt-BR"/>
          </w:rPr>
          <w:t>https://ainfo.cnptia.embrapa.br/digital/bitstream/item/31102/1/Comunicado-141.pdf</w:t>
        </w:r>
      </w:hyperlink>
      <w:r>
        <w:rPr>
          <w:rFonts w:cs="Arial" w:ascii="Arial" w:hAnsi="Arial"/>
          <w:color w:val="000000" w:themeColor="text1"/>
          <w:sz w:val="22"/>
          <w:szCs w:val="22"/>
          <w:lang w:val="pt-BR"/>
        </w:rPr>
        <w:t>. Acesso em: 22 de Set. 2023.</w:t>
      </w:r>
    </w:p>
    <w:sectPr>
      <w:headerReference w:type="default" r:id="rId5"/>
      <w:type w:val="nextPage"/>
      <w:pgSz w:w="11906" w:h="16838"/>
      <w:pgMar w:left="1418" w:right="1418" w:gutter="0" w:header="0" w:top="1418" w:footer="0" w:bottom="1418"/>
      <w:pgNumType w:start="1"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152400" distB="152400" distL="152400" distR="152400" simplePos="0" locked="0" layoutInCell="0" allowOverlap="1" relativeHeight="4">
          <wp:simplePos x="0" y="0"/>
          <wp:positionH relativeFrom="page">
            <wp:align>right</wp:align>
          </wp:positionH>
          <wp:positionV relativeFrom="page">
            <wp:posOffset>19050</wp:posOffset>
          </wp:positionV>
          <wp:extent cx="7556500" cy="1115060"/>
          <wp:effectExtent l="0" t="0" r="0" b="0"/>
          <wp:wrapTopAndBottom/>
          <wp:docPr id="1" name="Imagem 114883723"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4883723"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eastAsia="en-US" w:val="pt-BR"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MenoPendente1" w:customStyle="1">
    <w:name w:val="Menção Pendente1"/>
    <w:basedOn w:val="DefaultParagraphFont"/>
    <w:uiPriority w:val="99"/>
    <w:semiHidden/>
    <w:unhideWhenUsed/>
    <w:qFormat/>
    <w:rsid w:val="00894484"/>
    <w:rPr>
      <w:color w:val="605E5C"/>
      <w:shd w:fill="E1DFDD" w:val="clear"/>
    </w:rPr>
  </w:style>
  <w:style w:type="character" w:styleId="CabealhoChar" w:customStyle="1">
    <w:name w:val="Cabeçalho Char"/>
    <w:basedOn w:val="DefaultParagraphFont"/>
    <w:uiPriority w:val="99"/>
    <w:qFormat/>
    <w:rsid w:val="00936300"/>
    <w:rPr>
      <w:sz w:val="24"/>
      <w:szCs w:val="24"/>
      <w:lang w:eastAsia="en-US"/>
    </w:rPr>
  </w:style>
  <w:style w:type="character" w:styleId="RodapChar" w:customStyle="1">
    <w:name w:val="Rodapé Char"/>
    <w:basedOn w:val="DefaultParagraphFont"/>
    <w:uiPriority w:val="99"/>
    <w:qFormat/>
    <w:rsid w:val="00936300"/>
    <w:rPr>
      <w:sz w:val="24"/>
      <w:szCs w:val="24"/>
      <w:lang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rPr>
  </w:style>
  <w:style w:type="paragraph" w:styleId="Cabealho">
    <w:name w:val="Header"/>
    <w:basedOn w:val="Normal"/>
    <w:link w:val="CabealhoChar"/>
    <w:uiPriority w:val="99"/>
    <w:unhideWhenUsed/>
    <w:rsid w:val="00936300"/>
    <w:pPr>
      <w:tabs>
        <w:tab w:val="clear" w:pos="720"/>
        <w:tab w:val="center" w:pos="4252" w:leader="none"/>
        <w:tab w:val="right" w:pos="8504" w:leader="none"/>
      </w:tabs>
    </w:pPr>
    <w:rPr/>
  </w:style>
  <w:style w:type="paragraph" w:styleId="Rodap">
    <w:name w:val="Footer"/>
    <w:basedOn w:val="Normal"/>
    <w:link w:val="RodapChar"/>
    <w:uiPriority w:val="99"/>
    <w:unhideWhenUsed/>
    <w:rsid w:val="00936300"/>
    <w:pPr>
      <w:tabs>
        <w:tab w:val="clear" w:pos="720"/>
        <w:tab w:val="center" w:pos="4252" w:leader="none"/>
        <w:tab w:val="right" w:pos="8504" w:leader="none"/>
      </w:tabs>
    </w:pPr>
    <w:rPr/>
  </w:style>
  <w:style w:type="paragraph" w:styleId="Revision">
    <w:name w:val="Revision"/>
    <w:uiPriority w:val="99"/>
    <w:semiHidden/>
    <w:qFormat/>
    <w:rsid w:val="008c0b0e"/>
    <w:pPr>
      <w:widowControl/>
      <w:pBdr/>
      <w:bidi w:val="0"/>
      <w:spacing w:before="0" w:after="0"/>
      <w:jc w:val="left"/>
    </w:pPr>
    <w:rPr>
      <w:rFonts w:ascii="Times New Roman" w:hAnsi="Times New Roman" w:eastAsia="Arial Unicode MS" w:cs="Times New Roman"/>
      <w:color w:val="auto"/>
      <w:kern w:val="0"/>
      <w:sz w:val="24"/>
      <w:szCs w:val="24"/>
      <w:lang w:eastAsia="en-US" w:val="pt-BR" w:bidi="ar-SA"/>
    </w:rPr>
  </w:style>
  <w:style w:type="paragraph" w:styleId="NormalWeb">
    <w:name w:val="Normal (Web)"/>
    <w:basedOn w:val="Normal"/>
    <w:uiPriority w:val="99"/>
    <w:unhideWhenUsed/>
    <w:qFormat/>
    <w:rsid w:val="00213147"/>
    <w:pPr>
      <w:pBdr/>
      <w:spacing w:beforeAutospacing="1" w:afterAutospacing="1"/>
    </w:pPr>
    <w:rPr>
      <w:rFonts w:eastAsia="Times New Roman"/>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cielo.br/j/rbz/a/GpmpQdKkWQtyPk6VbxbM5Hm" TargetMode="External"/><Relationship Id="rId3" Type="http://schemas.openxmlformats.org/officeDocument/2006/relationships/hyperlink" Target="https://rvz.emnuvens.com.br/rvz/article/view/452" TargetMode="External"/><Relationship Id="rId4" Type="http://schemas.openxmlformats.org/officeDocument/2006/relationships/hyperlink" Target="https://ainfo.cnptia.embrapa.br/digital/bitstream/item/31102/1/Comunicado-141.pdf" TargetMode="Externa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B1779-E0B3-4E18-A5A3-380EFFE3B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Application>LibreOffice/7.3.2.2$Windows_X86_64 LibreOffice_project/49f2b1bff42cfccbd8f788c8dc32c1c309559be0</Application>
  <AppVersion>15.0000</AppVersion>
  <Pages>2</Pages>
  <Words>1426</Words>
  <Characters>7625</Characters>
  <CharactersWithSpaces>9016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2023-10-16T18:40:00Z</dcterms:created>
  <dc:creator>Usuario</dc:creator>
  <dc:description/>
  <dc:language>pt-BR</dc:language>
  <cp:lastModifiedBy>Usuario</cp:lastModifiedBy>
  <dcterms:modified xsi:type="dcterms:W3CDTF">2023-10-16T19:32:00Z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