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76"/>
        <w:ind w:right="280" w:hanging="0"/>
        <w:jc w:val="center"/>
        <w:rPr>
          <w:lang w:val="pt-BR"/>
        </w:rPr>
      </w:pPr>
      <w:r>
        <w:rPr>
          <w:lang w:val="pt-BR"/>
        </w:rPr>
        <w:drawing>
          <wp:anchor behindDoc="0" distT="152400" distB="152400" distL="152400" distR="152400" simplePos="0" locked="0" layoutInCell="0" allowOverlap="1" relativeHeight="2">
            <wp:simplePos x="0" y="0"/>
            <wp:positionH relativeFrom="page">
              <wp:align>right</wp:align>
            </wp:positionH>
            <wp:positionV relativeFrom="page">
              <wp:posOffset>13970</wp:posOffset>
            </wp:positionV>
            <wp:extent cx="7556500" cy="1115060"/>
            <wp:effectExtent l="0" t="0" r="0" b="0"/>
            <wp:wrapTopAndBottom/>
            <wp:docPr id="1" name="Imagem 1642066175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642066175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Onormal"/>
        <w:ind w:right="284" w:hanging="0"/>
        <w:jc w:val="center"/>
        <w:rPr>
          <w:rFonts w:ascii="Arial" w:hAnsi="Arial"/>
          <w:b/>
          <w:b/>
          <w:bCs/>
          <w:color w:val="000000"/>
          <w:sz w:val="28"/>
          <w:szCs w:val="28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8"/>
          <w:szCs w:val="28"/>
          <w:u w:val="none" w:color="000000"/>
          <w:lang w:val="pt-BR"/>
        </w:rPr>
        <w:t>FATORES QUE AFETAM A QUALIDADE DE COLOSTRO EM BOVINOS LEITEIROS</w:t>
      </w:r>
    </w:p>
    <w:p>
      <w:pPr>
        <w:pStyle w:val="LOnormal"/>
        <w:ind w:right="284" w:hanging="0"/>
        <w:jc w:val="center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ind w:right="284" w:hanging="0"/>
        <w:jc w:val="center"/>
        <w:rPr>
          <w:rFonts w:ascii="Arial" w:hAnsi="Arial" w:eastAsia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cs="Arial" w:ascii="Arial" w:hAnsi="Arial"/>
          <w:color w:val="000000"/>
          <w:sz w:val="20"/>
          <w:szCs w:val="20"/>
          <w:u w:val="single"/>
          <w:lang w:val="pt-BR"/>
        </w:rPr>
        <w:t>Vitória Cristina Fortunato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</w:t>
      </w:r>
      <w:r>
        <w:rPr>
          <w:rFonts w:eastAsia="Arial" w:cs="Arial" w:ascii="Arial" w:hAnsi="Arial"/>
          <w:color w:val="000000"/>
          <w:sz w:val="20"/>
          <w:szCs w:val="20"/>
          <w:u w:val="none" w:color="000000"/>
          <w:lang w:val="pt-BR"/>
        </w:rPr>
        <w:t xml:space="preserve"> Carlos Cezar Borba Neto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Gabriel Alves de Souza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 xml:space="preserve"> </w:t>
      </w:r>
      <w:r>
        <w:rPr>
          <w:rFonts w:cs="Arial" w:ascii="Arial" w:hAnsi="Arial"/>
          <w:color w:val="0D0D0D" w:themeColor="text1" w:themeTint="f2"/>
          <w:sz w:val="20"/>
          <w:szCs w:val="20"/>
          <w:lang w:val="pt-BR"/>
        </w:rPr>
        <w:t>Maurício Lehmann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,Juliano Santos Gueretz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Vanessa Peripolli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2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 xml:space="preserve">, </w:t>
      </w:r>
      <w:r>
        <w:rPr>
          <w:rFonts w:cs="Arial" w:ascii="Arial" w:hAnsi="Arial"/>
          <w:color w:val="auto"/>
          <w:sz w:val="20"/>
          <w:szCs w:val="20"/>
          <w:u w:val="none" w:color="000000"/>
          <w:lang w:val="pt-BR"/>
        </w:rPr>
        <w:t>Viviane Rohrig Rabassa</w:t>
      </w:r>
      <w:r>
        <w:rPr>
          <w:rFonts w:cs="Arial" w:ascii="Arial" w:hAnsi="Arial"/>
          <w:color w:val="auto"/>
          <w:sz w:val="20"/>
          <w:szCs w:val="20"/>
          <w:u w:val="none" w:color="000000"/>
          <w:vertAlign w:val="superscript"/>
          <w:lang w:val="pt-BR"/>
        </w:rPr>
        <w:t>3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, Elizabeth Schwegler</w:t>
      </w: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 xml:space="preserve">2,4. </w:t>
      </w:r>
    </w:p>
    <w:p>
      <w:pPr>
        <w:pStyle w:val="LOnormal"/>
        <w:ind w:right="284" w:hanging="0"/>
        <w:jc w:val="center"/>
        <w:rPr>
          <w:rFonts w:ascii="Arial" w:hAnsi="Arial" w:eastAsia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u w:val="none" w:color="000000"/>
          <w:lang w:val="pt-BR"/>
        </w:rPr>
      </w:r>
    </w:p>
    <w:p>
      <w:pPr>
        <w:pStyle w:val="LOnormal"/>
        <w:ind w:right="284" w:hanging="0"/>
        <w:jc w:val="center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cs="Arial" w:ascii="Arial" w:hAnsi="Arial"/>
          <w:color w:val="000000"/>
          <w:sz w:val="20"/>
          <w:szCs w:val="20"/>
          <w:u w:val="none" w:color="000000"/>
          <w:vertAlign w:val="superscript"/>
          <w:lang w:val="pt-BR"/>
        </w:rPr>
        <w:t>1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 xml:space="preserve">Estudante do Instituto Federal Catarinense- </w:t>
      </w:r>
      <w:r>
        <w:rPr>
          <w:rFonts w:cs="Arial" w:ascii="Arial" w:hAnsi="Arial"/>
          <w:i/>
          <w:iCs/>
          <w:color w:val="000000"/>
          <w:sz w:val="20"/>
          <w:szCs w:val="20"/>
          <w:u w:val="none" w:color="000000"/>
          <w:lang w:val="pt-BR"/>
        </w:rPr>
        <w:t xml:space="preserve">Campus </w:t>
      </w: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  <w:t>Araquari. E-m</w:t>
      </w:r>
      <w:r>
        <w:rPr>
          <w:rFonts w:cs="Arial" w:ascii="Arial" w:hAnsi="Arial"/>
          <w:color w:val="000000"/>
          <w:sz w:val="20"/>
          <w:szCs w:val="20"/>
          <w:lang w:val="pt-BR"/>
        </w:rPr>
        <w:t xml:space="preserve">ail: </w:t>
      </w:r>
      <w:hyperlink r:id="rId3">
        <w:r>
          <w:rPr>
            <w:rStyle w:val="LinkdaInternet"/>
            <w:rFonts w:cs="Arial" w:ascii="Arial" w:hAnsi="Arial"/>
            <w:sz w:val="20"/>
            <w:szCs w:val="20"/>
            <w:u w:val="none"/>
            <w:lang w:val="pt-BR"/>
          </w:rPr>
          <w:t>vitorianani1@gmail.com</w:t>
        </w:r>
      </w:hyperlink>
      <w:r>
        <w:rPr>
          <w:rFonts w:cs="Arial" w:ascii="Arial" w:hAnsi="Arial"/>
          <w:color w:val="000000"/>
          <w:sz w:val="20"/>
          <w:szCs w:val="20"/>
          <w:lang w:val="pt-BR"/>
        </w:rPr>
        <w:t>.</w:t>
      </w:r>
    </w:p>
    <w:p>
      <w:pPr>
        <w:pStyle w:val="LOnormal"/>
        <w:ind w:right="284" w:hanging="0"/>
        <w:jc w:val="center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cs="Arial" w:ascii="Arial" w:hAnsi="Arial"/>
          <w:color w:val="000000"/>
          <w:sz w:val="20"/>
          <w:szCs w:val="20"/>
          <w:vertAlign w:val="superscript"/>
          <w:lang w:val="pt-BR"/>
        </w:rPr>
        <w:t xml:space="preserve">2 </w:t>
      </w:r>
      <w:r>
        <w:rPr>
          <w:rFonts w:cs="Arial" w:ascii="Arial" w:hAnsi="Arial"/>
          <w:color w:val="000000"/>
          <w:sz w:val="20"/>
          <w:szCs w:val="20"/>
          <w:lang w:val="pt-BR"/>
        </w:rPr>
        <w:t xml:space="preserve">Professor(a) do Instituto Federal Catarinense- </w:t>
      </w:r>
      <w:r>
        <w:rPr>
          <w:rFonts w:cs="Arial" w:ascii="Arial" w:hAnsi="Arial"/>
          <w:i/>
          <w:iCs/>
          <w:color w:val="000000"/>
          <w:sz w:val="20"/>
          <w:szCs w:val="20"/>
          <w:lang w:val="pt-BR"/>
        </w:rPr>
        <w:t xml:space="preserve">Campus </w:t>
      </w:r>
      <w:r>
        <w:rPr>
          <w:rFonts w:cs="Arial" w:ascii="Arial" w:hAnsi="Arial"/>
          <w:color w:val="000000"/>
          <w:sz w:val="20"/>
          <w:szCs w:val="20"/>
          <w:lang w:val="pt-BR"/>
        </w:rPr>
        <w:t>Araquari.</w:t>
      </w:r>
    </w:p>
    <w:p>
      <w:pPr>
        <w:pStyle w:val="LOnormal"/>
        <w:ind w:right="284" w:hanging="0"/>
        <w:jc w:val="center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cs="Arial" w:ascii="Arial" w:hAnsi="Arial"/>
          <w:color w:val="000000"/>
          <w:sz w:val="20"/>
          <w:szCs w:val="20"/>
          <w:vertAlign w:val="superscript"/>
          <w:lang w:val="pt-BR"/>
        </w:rPr>
        <w:t xml:space="preserve">3 </w:t>
      </w:r>
      <w:r>
        <w:rPr>
          <w:rFonts w:cs="Arial" w:ascii="Arial" w:hAnsi="Arial"/>
          <w:color w:val="000000"/>
          <w:sz w:val="20"/>
          <w:szCs w:val="20"/>
          <w:lang w:val="pt-BR"/>
        </w:rPr>
        <w:t>Professora da Universidade Federal de Pelotas.</w:t>
      </w:r>
    </w:p>
    <w:p>
      <w:pPr>
        <w:pStyle w:val="LOnormal"/>
        <w:ind w:right="284" w:hanging="0"/>
        <w:jc w:val="center"/>
        <w:rPr>
          <w:rFonts w:ascii="Arial" w:hAnsi="Arial" w:cs="Arial"/>
          <w:color w:val="000000"/>
          <w:sz w:val="20"/>
          <w:szCs w:val="20"/>
          <w:lang w:val="pt-BR"/>
        </w:rPr>
      </w:pPr>
      <w:r>
        <w:rPr>
          <w:rFonts w:cs="Arial" w:ascii="Arial" w:hAnsi="Arial"/>
          <w:color w:val="000000"/>
          <w:sz w:val="20"/>
          <w:szCs w:val="20"/>
          <w:vertAlign w:val="superscript"/>
          <w:lang w:val="pt-BR"/>
        </w:rPr>
        <w:t xml:space="preserve">2,4 </w:t>
      </w:r>
      <w:r>
        <w:rPr>
          <w:rFonts w:cs="Arial" w:ascii="Arial" w:hAnsi="Arial"/>
          <w:color w:val="000000"/>
          <w:sz w:val="20"/>
          <w:szCs w:val="20"/>
          <w:lang w:val="pt-BR"/>
        </w:rPr>
        <w:t xml:space="preserve">Professora Orientadora do Instituto Federal Catarinense- </w:t>
      </w:r>
      <w:r>
        <w:rPr>
          <w:rFonts w:cs="Arial" w:ascii="Arial" w:hAnsi="Arial"/>
          <w:i/>
          <w:iCs/>
          <w:color w:val="000000"/>
          <w:sz w:val="20"/>
          <w:szCs w:val="20"/>
          <w:lang w:val="pt-BR"/>
        </w:rPr>
        <w:t xml:space="preserve">Campus </w:t>
      </w:r>
      <w:r>
        <w:rPr>
          <w:rFonts w:cs="Arial" w:ascii="Arial" w:hAnsi="Arial"/>
          <w:color w:val="000000"/>
          <w:sz w:val="20"/>
          <w:szCs w:val="20"/>
          <w:lang w:val="pt-BR"/>
        </w:rPr>
        <w:t xml:space="preserve">Araquari. </w:t>
      </w:r>
    </w:p>
    <w:p>
      <w:pPr>
        <w:pStyle w:val="LOnormal"/>
        <w:ind w:right="284" w:hanging="0"/>
        <w:jc w:val="center"/>
        <w:rPr>
          <w:rFonts w:ascii="Arial" w:hAnsi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cs="Arial" w:ascii="Arial" w:hAnsi="Arial"/>
          <w:color w:val="000000"/>
          <w:sz w:val="20"/>
          <w:szCs w:val="20"/>
          <w:u w:val="none" w:color="000000"/>
          <w:lang w:val="pt-BR"/>
        </w:rPr>
      </w:r>
    </w:p>
    <w:p>
      <w:pPr>
        <w:pStyle w:val="LOnormal"/>
        <w:widowControl w:val="false"/>
        <w:jc w:val="both"/>
        <w:rPr>
          <w:rFonts w:ascii="Arial" w:hAnsi="Arial" w:cs="Arial"/>
          <w:color w:val="0D0D0D" w:themeColor="text1" w:themeTint="f2"/>
          <w:sz w:val="22"/>
          <w:szCs w:val="22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Contribuição para a sociedade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: 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Atualmente sabe-se da importância da colostragem para a transferência da imunidade passiva em bezerros neonatos, pois estes animais são desprovidos de defesa própria ao nascimento. No entanto, há fatores que influenciam na qualidade do colostro produzido pela mãe, e estes devem ser considerados no fornecimento ao bezerro. A compreensão destes fatores e a aplicabilidade a campo favorece uma colostragem com o máximo de sua eficiência, o que irá interferir positivamente na saúde produtiva da vaca adulta. Diante do contexto, o objetivo deste trabalho foi  avaliar os fatores que influenciam na qualidade do colostro, a partir do % brix. Os dados do trabalho demonstram </w:t>
      </w:r>
      <w:r>
        <w:rPr>
          <w:rFonts w:cs="Arial" w:ascii="Arial" w:hAnsi="Arial"/>
          <w:color w:val="0D0D0D" w:themeColor="text1" w:themeTint="f2"/>
          <w:sz w:val="22"/>
          <w:szCs w:val="22"/>
          <w:lang w:val="pt-BR"/>
        </w:rPr>
        <w:t>que vacas mais velhas é um fator negativo na qualidade do colostro e a densidade é um fator positivo, demonstrando que o controle zootécnico do rebanho é um fator essencial para a produção de um colostro de qualidade.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Palavras-chave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: Colostragem, Imunoglobulinas, Imunidade.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Introdução: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Vários fatores afetam a qualidade do colostro, dentre eles, a paridade da vaca, a duração da gestação, produção de leite na lactação anterior, quantidade e coloração de colostro (PROM et al., 2022; BORCHARDT et al., 2022). O refratômetro de brix é utilizado para estimar a concentração de imunoglobulina G no colostro que é um dos fatores mais importantes de qualidade desta substância (SILVA-DEL-RÍO et al., 2017), o qual afeta diretamente na transmissão de imunidade passiva ao bezerro, influenciando na sua saúde. Os neonatos com maior taxa de transferência de imunidade passiva apresentam menores riscos de pneumonia e morbidades em geral, bem como menores taxas de mortalidade durante o período pré-desmame (SUTTER et al., 2023). Sendo assim, a necessidade de uma rotina de avaliação do colostro e da transferência de imunidade nos animais, são de suma importância para o futuro do rebanho, pois há desafios e processos durante o período neonatal que influenciam na saúde e na produção de futuras vacas leiteiras (LOCH et al., 2023). Diante do exposto, o estudo teve por objetivo avaliar os fatores que influenciam na qualidade do colostro, a partir do % Brix, no período de fevereiro a julho de 2023.</w:t>
      </w:r>
    </w:p>
    <w:p>
      <w:pPr>
        <w:pStyle w:val="LOnormal"/>
        <w:jc w:val="both"/>
        <w:rPr>
          <w:rFonts w:ascii="Arial" w:hAnsi="Arial"/>
          <w:b/>
          <w:b/>
          <w:bCs/>
          <w:color w:val="FF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FF0000"/>
          <w:sz w:val="22"/>
          <w:szCs w:val="22"/>
          <w:u w:val="none" w:color="000000"/>
          <w:lang w:val="pt-BR"/>
        </w:rPr>
      </w:r>
    </w:p>
    <w:p>
      <w:pPr>
        <w:pStyle w:val="LO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bookmarkStart w:id="0" w:name="_headingh.30j0zll"/>
      <w:bookmarkEnd w:id="0"/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Material e métodos: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</w:t>
      </w:r>
      <w:r>
        <w:rPr>
          <w:rFonts w:cs="Arial" w:ascii="Arial" w:hAnsi="Arial"/>
          <w:sz w:val="22"/>
          <w:szCs w:val="22"/>
          <w:lang w:val="pt-BR"/>
        </w:rPr>
        <w:t xml:space="preserve">O experimento foi realizado na Unidade de Ensino e Aprendizagem Bovinocultura Leiteira do Instituto Federal Catarinense – </w:t>
      </w:r>
      <w:r>
        <w:rPr>
          <w:rFonts w:cs="Arial" w:ascii="Arial" w:hAnsi="Arial"/>
          <w:i/>
          <w:iCs/>
          <w:sz w:val="22"/>
          <w:szCs w:val="22"/>
          <w:lang w:val="pt-BR"/>
        </w:rPr>
        <w:t>Campus</w:t>
      </w:r>
      <w:r>
        <w:rPr>
          <w:rFonts w:cs="Arial" w:ascii="Arial" w:hAnsi="Arial"/>
          <w:sz w:val="22"/>
          <w:szCs w:val="22"/>
          <w:lang w:val="pt-BR"/>
        </w:rPr>
        <w:t xml:space="preserve"> Araquari (Setor de Ruminantes), estando de acordo com o Procedimento Operacional Padrão (POP, submetido com o protocolo n° 411/2022 ao Comitê de Ética e Bem-Estar Animal). Dezessete vacas leiteiras das raças Holandês e Jersolando foram utilizadas para o estudo, sendo acompanhadas do momento do parto até a primeira ordenha. Os animais recém paridos foram levados até a ordenha e submetidos aos manejos adequados de higienização, teste do caneco de fundo preto e pré-dipping. A coleta do colostro ocorreu da seguinte forma: para cada animal foi utilizado um frasco de coleta de leite para análise individual, sendo coletados quatro jatos de colostro de cada quarto mamário e posteriormente homogeneizado no frasco. Após a coleta, os animais foram ordenhados completamente em sistema balde ao pé individual para a coleta do colostro e posterior fornecimento ao bezerro. As amostras coletadas foram submetidas às análises de percentual brix e densidade (g/mL) no mesmo momento da coleta, utilizando como ferramenta de análise um refratômetro de brix comercial</w:t>
      </w:r>
      <w:r>
        <w:rPr>
          <w:rFonts w:cs="Arial" w:ascii="Arial" w:hAnsi="Arial"/>
          <w:color w:val="0D0D0D" w:themeColor="text1" w:themeTint="f2"/>
          <w:sz w:val="22"/>
          <w:szCs w:val="22"/>
          <w:lang w:val="pt-BR"/>
        </w:rPr>
        <w:t xml:space="preserve"> (</w:t>
      </w:r>
      <w:r>
        <w:rPr>
          <w:rFonts w:cs="Arial" w:ascii="Arial" w:hAnsi="Arial"/>
          <w:sz w:val="22"/>
          <w:szCs w:val="22"/>
          <w:lang w:val="pt-BR"/>
        </w:rPr>
        <w:t>Voux®). Os demais dados coletados foram o volume de colostro produzido (kg), o escore de coloração (1 a 4) (</w:t>
      </w:r>
      <w:r>
        <w:rPr>
          <w:rFonts w:cs="Arial" w:ascii="Arial" w:hAnsi="Arial"/>
          <w:color w:val="auto"/>
          <w:sz w:val="22"/>
          <w:szCs w:val="22"/>
          <w:lang w:val="pt-BR"/>
        </w:rPr>
        <w:t>PROM et al., 2022), tempo do parto até a ordenha (em minutos) e os índices zootécnicos da raça como idade do animal e número de partos. Todos os dados foram planilhados em software (Excel</w:t>
      </w:r>
      <w:r>
        <w:rPr>
          <w:rFonts w:cs="Arial" w:ascii="Arial" w:hAnsi="Arial"/>
          <w:color w:val="auto"/>
          <w:sz w:val="22"/>
          <w:szCs w:val="22"/>
          <w:vertAlign w:val="superscript"/>
          <w:lang w:val="pt-BR"/>
        </w:rPr>
        <w:t>®</w:t>
      </w:r>
      <w:r>
        <w:rPr>
          <w:rFonts w:cs="Arial" w:ascii="Arial" w:hAnsi="Arial"/>
          <w:color w:val="auto"/>
          <w:sz w:val="22"/>
          <w:szCs w:val="22"/>
          <w:lang w:val="pt-BR"/>
        </w:rPr>
        <w:t xml:space="preserve">) para posterior análises estatísticas. O colostro foi considerado 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>aceitável quando o percentual brix alcançou valor igual ou superior a 21% (SILVA-DEL RIO et al., 2017). Na análise estatística foi utilizado o programa Sas</w:t>
      </w:r>
      <w:r>
        <w:rPr>
          <w:rFonts w:cs="Arial" w:ascii="Arial" w:hAnsi="Arial"/>
          <w:color w:val="000000" w:themeColor="text1"/>
          <w:sz w:val="22"/>
          <w:szCs w:val="22"/>
          <w:vertAlign w:val="superscript"/>
          <w:lang w:val="pt-BR"/>
        </w:rPr>
        <w:t>®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, sendo feita a análise de correlação entre os marcadores citados e análise de regressão multivariada para verificar quais fatores afetaram o % Brix. Para que todas as coletas ocorressem de forma padrão, toda a equipe do setor foi treinada sobre todos os procedimentos a serem seguidos e os vigias do </w:t>
      </w:r>
      <w:r>
        <w:rPr>
          <w:rFonts w:cs="Arial" w:ascii="Arial" w:hAnsi="Arial"/>
          <w:i/>
          <w:iCs/>
          <w:color w:val="000000" w:themeColor="text1"/>
          <w:sz w:val="22"/>
          <w:szCs w:val="22"/>
          <w:lang w:val="pt-BR"/>
        </w:rPr>
        <w:t xml:space="preserve">Campus 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>ficaram responsáveis por avisar quando ocorresse parto durante a noite.</w:t>
      </w:r>
      <w:r>
        <w:rPr>
          <w:rFonts w:ascii="Arial" w:hAnsi="Arial"/>
          <w:color w:val="000000" w:themeColor="text1"/>
          <w:sz w:val="22"/>
          <w:szCs w:val="22"/>
          <w:u w:val="none" w:color="000000"/>
          <w:lang w:val="pt-BR"/>
        </w:rPr>
        <w:t xml:space="preserve"> </w:t>
      </w:r>
    </w:p>
    <w:p>
      <w:pPr>
        <w:pStyle w:val="LOnormal"/>
        <w:widowControl w:val="false"/>
        <w:jc w:val="both"/>
        <w:rPr>
          <w:rFonts w:ascii="Arial" w:hAnsi="Arial" w:eastAsia="Arial" w:cs="Arial"/>
          <w:color w:val="000000" w:themeColor="text1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 w:themeColor="text1"/>
          <w:sz w:val="22"/>
          <w:szCs w:val="22"/>
          <w:u w:val="none" w:color="000000"/>
          <w:lang w:val="pt-BR"/>
        </w:rPr>
      </w:r>
    </w:p>
    <w:p>
      <w:pPr>
        <w:pStyle w:val="LOnormal"/>
        <w:widowControl w:val="false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Resultados e discussões</w:t>
      </w:r>
      <w:r>
        <w:rPr>
          <w:rFonts w:ascii="Arial" w:hAnsi="Arial"/>
          <w:b/>
          <w:bCs/>
          <w:color w:val="auto"/>
          <w:sz w:val="22"/>
          <w:szCs w:val="22"/>
          <w:u w:val="none" w:color="000000"/>
          <w:lang w:val="pt-BR"/>
        </w:rPr>
        <w:t xml:space="preserve">: 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O tempo médio do parto a primeira ordenha foi de 111 ± 27,20 minutos, com brix médio de 27,32 ± 0,80%, 1119,35 g/mL de densidade e produção de 4,2 ± 0,81 kg. A média de número de partos foi de 2,64 ± 1,36 e idade 4,58 ± 2,00 anos. 12 animais apresentaram escore de coloração do colostro 4, 3 animais escore 3 e 2 animais escore 2. O % Brix com a densidade teve correlação de r= 0,87581 (P&lt;0,001) e com a coloração o valor de r= 0,51793 (P= 0,0332). Prom et al. (2022), observaram que a coloração do colostro está relacionada a presença do </w:t>
      </w:r>
      <w:r>
        <w:rPr>
          <w:rFonts w:cs="Arial" w:ascii="Arial" w:hAnsi="Arial"/>
          <w:color w:val="000000" w:themeColor="text1"/>
          <w:sz w:val="22"/>
          <w:szCs w:val="22"/>
        </w:rPr>
        <w:t>β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>-caroteno. Tal substância apresenta características antioxidantes e funciona como precursor da vitamina A, sendo um fator de qualidade do colostro. A alta correlação entre o % brix e a densidade pode ser explicada pela quantidade de sólidos presentes na substância, dentre eles, a imunoglobulina G, que é diretamente proporcional ao percentual brix (</w:t>
      </w:r>
      <w:r>
        <w:rPr>
          <w:rFonts w:cs="Arial" w:ascii="Arial" w:hAnsi="Arial"/>
          <w:color w:val="000000" w:themeColor="text1"/>
          <w:sz w:val="22"/>
          <w:szCs w:val="22"/>
          <w:shd w:fill="FFFFFF" w:val="clear"/>
        </w:rPr>
        <w:t>SILVA-DEL-RÍO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 et al., 2017). Na regressão multivariada dos fatores avaliados que afetaram o percentual brix do colostro, foi encontrado o valor de R</w:t>
      </w:r>
      <w:r>
        <w:rPr>
          <w:rFonts w:cs="Arial" w:ascii="Arial" w:hAnsi="Arial"/>
          <w:color w:val="000000" w:themeColor="text1"/>
          <w:sz w:val="22"/>
          <w:szCs w:val="22"/>
          <w:vertAlign w:val="superscript"/>
          <w:lang w:val="pt-BR"/>
        </w:rPr>
        <w:t>2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= 0,8779 (Brix do colostro= </w:t>
      </w:r>
      <w:r>
        <w:rPr>
          <w:rFonts w:eastAsia="Times New Roman" w:cs="Arial" w:ascii="Arial" w:hAnsi="Arial"/>
          <w:color w:val="000000" w:themeColor="text1"/>
          <w:sz w:val="22"/>
          <w:szCs w:val="22"/>
          <w:lang w:val="pt-BR"/>
        </w:rPr>
        <w:t xml:space="preserve">-210,66676 – </w:t>
      </w:r>
      <w:bookmarkStart w:id="1" w:name="_Hlk145335757"/>
      <w:r>
        <w:rPr>
          <w:rFonts w:eastAsia="Times New Roman" w:cs="Arial" w:ascii="Arial" w:hAnsi="Arial"/>
          <w:color w:val="000000" w:themeColor="text1"/>
          <w:sz w:val="22"/>
          <w:szCs w:val="22"/>
          <w:lang w:val="pt-BR"/>
        </w:rPr>
        <w:t>0,54623</w:t>
      </w:r>
      <w:bookmarkEnd w:id="1"/>
      <w:r>
        <w:rPr>
          <w:rFonts w:eastAsia="Times New Roman" w:cs="Arial" w:ascii="Arial" w:hAnsi="Arial"/>
          <w:color w:val="000000" w:themeColor="text1"/>
          <w:sz w:val="22"/>
          <w:szCs w:val="22"/>
          <w:lang w:val="pt-BR"/>
        </w:rPr>
        <w:t xml:space="preserve"> número de partos + 0,21390 densidade). 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 xml:space="preserve">Borchardt et al. (2022), demonstraram em seu experimento que vacas holandesas mais velhas produziram mais colostro e de melhor qualidade (P=0,001), o que pode ser explicado pela maior exposição desses animais a antígenos ao longo de sua vida. Tal resultado não concorda com o encontrado neste trabalho, no entanto, vale ressaltar que os animais do presente estudo são mestiços, o que sugere um estudo mais aprofundado dessa variável em diferentes raças. </w:t>
      </w:r>
    </w:p>
    <w:p>
      <w:pPr>
        <w:pStyle w:val="LOnormal"/>
        <w:widowControl w:val="false"/>
        <w:jc w:val="both"/>
        <w:rPr>
          <w:rFonts w:ascii="Arial" w:hAnsi="Arial" w:eastAsia="Times New Roman" w:cs="Arial"/>
          <w:color w:val="000000" w:themeColor="text1"/>
          <w:sz w:val="22"/>
          <w:szCs w:val="22"/>
          <w:lang w:val="pt-BR"/>
        </w:rPr>
      </w:pPr>
      <w:r>
        <w:rPr>
          <w:rFonts w:eastAsia="Times New Roman" w:cs="Arial" w:ascii="Arial" w:hAnsi="Arial"/>
          <w:color w:val="000000" w:themeColor="text1"/>
          <w:sz w:val="22"/>
          <w:szCs w:val="22"/>
          <w:lang w:val="pt-BR"/>
        </w:rPr>
      </w:r>
    </w:p>
    <w:p>
      <w:pPr>
        <w:pStyle w:val="LOnormal"/>
        <w:widowControl w:val="false"/>
        <w:jc w:val="both"/>
        <w:rPr>
          <w:rFonts w:ascii="Arial" w:hAnsi="Arial" w:eastAsia="Times New Roman" w:cs="Arial"/>
          <w:sz w:val="22"/>
          <w:szCs w:val="22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Conclusão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: </w:t>
      </w:r>
      <w:r>
        <w:rPr>
          <w:rFonts w:eastAsia="Times New Roman" w:cs="Arial" w:ascii="Arial" w:hAnsi="Arial"/>
          <w:sz w:val="22"/>
          <w:szCs w:val="22"/>
          <w:lang w:val="pt-BR"/>
        </w:rPr>
        <w:t>A partir dos dados avaliados em nossos estudos, os fatores que mais afetaram o % brix do colostro foi o número de partos negativamente e a densidade positivamente, sugerindo que o controle da idade do rebanho é essencial para a manutenção de animais saudáveis e capazes de produzir um colostro de qualidade para suas crias.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FF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FF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Agradecimento: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Instituto Federal Catarinense- </w:t>
      </w:r>
      <w:r>
        <w:rPr>
          <w:rFonts w:ascii="Arial" w:hAnsi="Arial"/>
          <w:i/>
          <w:iCs/>
          <w:color w:val="000000"/>
          <w:sz w:val="22"/>
          <w:szCs w:val="22"/>
          <w:u w:val="none" w:color="000000"/>
          <w:lang w:val="pt-BR"/>
        </w:rPr>
        <w:t xml:space="preserve">Campus 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Araquari</w:t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Núcleo de Ensino e Pesquisa em Produção Animal (NEPPA)</w:t>
      </w:r>
    </w:p>
    <w:p>
      <w:pPr>
        <w:pStyle w:val="LOnormal"/>
        <w:jc w:val="both"/>
        <w:rPr>
          <w:rFonts w:ascii="Arial" w:hAnsi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Unidade de Ensino e Aprendizagem: Setor de Ruminantes</w:t>
      </w:r>
    </w:p>
    <w:p>
      <w:pPr>
        <w:pStyle w:val="LOnormal"/>
        <w:jc w:val="both"/>
        <w:rPr>
          <w:color w:val="000000"/>
          <w:u w:val="none" w:color="000000"/>
          <w:lang w:val="pt-BR"/>
        </w:rPr>
      </w:pPr>
      <w:r>
        <w:rPr>
          <w:color w:val="000000"/>
          <w:u w:val="none" w:color="000000"/>
          <w:lang w:val="pt-BR"/>
        </w:rPr>
      </w:r>
    </w:p>
    <w:p>
      <w:pPr>
        <w:pStyle w:val="Normal"/>
        <w:pBdr/>
        <w:shd w:val="clear" w:color="auto" w:fill="FFFFFF"/>
        <w:spacing w:beforeAutospacing="1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</w:rPr>
        <w:t xml:space="preserve">Referências: </w:t>
      </w:r>
      <w:r>
        <w:rPr>
          <w:rFonts w:cs="Arial" w:ascii="Arial" w:hAnsi="Arial"/>
          <w:sz w:val="22"/>
          <w:szCs w:val="22"/>
        </w:rPr>
        <w:t xml:space="preserve">BORCHARDT, S.; SUTTER, F.; HEUWIESER, W.; VENJAKOB, P. Management-related factors in dry cows and their associations with colostrum quantity and quality on a large commercial dairy farm. </w:t>
      </w:r>
      <w:r>
        <w:rPr>
          <w:rFonts w:cs="Arial" w:ascii="Arial" w:hAnsi="Arial"/>
          <w:b/>
          <w:bCs/>
          <w:sz w:val="22"/>
          <w:szCs w:val="22"/>
        </w:rPr>
        <w:t>Journal Of Dairy Science</w:t>
      </w:r>
      <w:r>
        <w:rPr>
          <w:rFonts w:cs="Arial" w:ascii="Arial" w:hAnsi="Arial"/>
          <w:sz w:val="22"/>
          <w:szCs w:val="22"/>
        </w:rPr>
        <w:t>,</w:t>
      </w:r>
      <w:r>
        <w:rPr>
          <w:rFonts w:cs="Arial" w:ascii="Arial" w:hAnsi="Arial"/>
          <w:b/>
          <w:bCs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v.105, n.2, p.1589-1602, 2022. DOI: </w:t>
      </w:r>
      <w:hyperlink r:id="rId4" w:tgtFrame="Link persistente usando identificador de objeto digital">
        <w:r>
          <w:rPr>
            <w:rStyle w:val="Anchortext"/>
            <w:rFonts w:cs="Arial" w:ascii="Arial" w:hAnsi="Arial"/>
            <w:sz w:val="22"/>
            <w:szCs w:val="22"/>
          </w:rPr>
          <w:t>https://doi.org/10.3168/jds.2021-20671</w:t>
        </w:r>
      </w:hyperlink>
    </w:p>
    <w:p>
      <w:pPr>
        <w:pStyle w:val="Normal"/>
        <w:pBdr/>
        <w:shd w:val="clear" w:color="auto" w:fill="FFFFFF"/>
        <w:spacing w:beforeAutospacing="1" w:afterAutospacing="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  <w:lang w:val="en-US"/>
        </w:rPr>
        <w:t xml:space="preserve">LOCH, M.; NIINE, T.; DORBEK-KOLIN, E.; PEETSALU, K.; ORRO, T. Associations of neonatal acute phase response with first lactation performance in dairy cows. </w:t>
      </w:r>
      <w:r>
        <w:rPr>
          <w:rFonts w:cs="Arial" w:ascii="Arial" w:hAnsi="Arial"/>
          <w:b/>
          <w:bCs/>
          <w:sz w:val="22"/>
          <w:szCs w:val="22"/>
          <w:lang w:val="en-US"/>
        </w:rPr>
        <w:t>Journal Of Dairy Science</w:t>
      </w:r>
      <w:r>
        <w:rPr>
          <w:rFonts w:cs="Arial" w:ascii="Arial" w:hAnsi="Arial"/>
          <w:sz w:val="22"/>
          <w:szCs w:val="22"/>
          <w:lang w:val="en-US"/>
        </w:rPr>
        <w:t xml:space="preserve">, v.106, n.9, p.6353-6364, 2023. DOI: </w:t>
      </w:r>
      <w:hyperlink r:id="rId5" w:tgtFrame="Link persistente usando identificador de objeto digital">
        <w:r>
          <w:rPr>
            <w:rStyle w:val="Anchortext"/>
            <w:rFonts w:cs="Arial" w:ascii="Arial" w:hAnsi="Arial"/>
            <w:sz w:val="22"/>
            <w:szCs w:val="22"/>
          </w:rPr>
          <w:t>https://doi.org/10.3168/jds.2022-22669</w:t>
        </w:r>
      </w:hyperlink>
    </w:p>
    <w:p>
      <w:pPr>
        <w:pStyle w:val="Normal"/>
        <w:pBdr/>
        <w:shd w:val="clear" w:color="auto" w:fill="FFFFFF"/>
        <w:spacing w:beforeAutospacing="1" w:afterAutospacing="1"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cs="Arial" w:ascii="Arial" w:hAnsi="Arial"/>
          <w:sz w:val="22"/>
          <w:szCs w:val="22"/>
        </w:rPr>
        <w:t xml:space="preserve">PROM, C. M.; ENGSTROM, M. A.; DRACKLEY, J. K. Effects of prepartum supplementation of β-carotene on colostrum and calves. </w:t>
      </w:r>
      <w:r>
        <w:rPr>
          <w:rFonts w:cs="Arial" w:ascii="Arial" w:hAnsi="Arial"/>
          <w:b/>
          <w:bCs/>
          <w:sz w:val="22"/>
          <w:szCs w:val="22"/>
        </w:rPr>
        <w:t>Journal Of Dairy Science</w:t>
      </w:r>
      <w:r>
        <w:rPr>
          <w:rFonts w:cs="Arial" w:ascii="Arial" w:hAnsi="Arial"/>
          <w:sz w:val="22"/>
          <w:szCs w:val="22"/>
        </w:rPr>
        <w:t xml:space="preserve">, v.105, n.11, p.8839-8849, 2022. DOI: </w:t>
      </w:r>
      <w:hyperlink r:id="rId6" w:tgtFrame="Link persistente usando identificador de objeto digital">
        <w:r>
          <w:rPr>
            <w:rStyle w:val="Anchortext"/>
            <w:rFonts w:cs="Arial" w:ascii="Arial" w:hAnsi="Arial"/>
            <w:sz w:val="22"/>
            <w:szCs w:val="22"/>
          </w:rPr>
          <w:t>https://doi.org/10.3168/jds.2022-22210</w:t>
        </w:r>
      </w:hyperlink>
    </w:p>
    <w:p>
      <w:pPr>
        <w:pStyle w:val="LOnormal"/>
        <w:jc w:val="both"/>
        <w:rPr>
          <w:rStyle w:val="Anchortext"/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SILVA-DEL-RÍO, N.; ROLLE, D.; GARCÍA-MUÑOZ, A.; RODRÍGUEZ-JIMÉNEZ, S.; VALLDECABRES, A.; LAGO, A.; PANDEY, P. Colostrum immunoglobulin G concentration of multiparous Jersey cows at first and second milking is associated with parity, colostrum yield, and time of first milking, and can be estimated with Brix refractometry. </w:t>
      </w:r>
      <w:r>
        <w:rPr>
          <w:rFonts w:cs="Arial" w:ascii="Arial" w:hAnsi="Arial"/>
          <w:b/>
          <w:bCs/>
          <w:color w:val="000000"/>
          <w:sz w:val="22"/>
          <w:szCs w:val="22"/>
          <w:shd w:fill="FFFFFF" w:val="clear"/>
        </w:rPr>
        <w:t>Journal Of Dairy Science</w:t>
      </w:r>
      <w:r>
        <w:rPr>
          <w:rFonts w:cs="Arial" w:ascii="Arial" w:hAnsi="Arial"/>
          <w:color w:val="000000"/>
          <w:sz w:val="22"/>
          <w:szCs w:val="22"/>
          <w:shd w:fill="FFFFFF" w:val="clear"/>
        </w:rPr>
        <w:t xml:space="preserve">, v.100, n.7, p.5774-5781, 2017. DOI: </w:t>
      </w:r>
      <w:hyperlink r:id="rId7" w:tgtFrame="Link persistente usando identificador de objeto digital">
        <w:r>
          <w:rPr>
            <w:rStyle w:val="Anchortext"/>
            <w:rFonts w:cs="Arial" w:ascii="Arial" w:hAnsi="Arial"/>
            <w:color w:val="auto"/>
            <w:sz w:val="22"/>
            <w:szCs w:val="22"/>
          </w:rPr>
          <w:t>https://doi.org/10.3168/jdsc.2021-0192</w:t>
        </w:r>
      </w:hyperlink>
    </w:p>
    <w:p>
      <w:pPr>
        <w:pStyle w:val="LOnormal"/>
        <w:jc w:val="both"/>
        <w:rPr>
          <w:rStyle w:val="Anchortext"/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LOnormal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 xml:space="preserve">SUTTER, F.; VENJAKOB, P. L.; HEUWIESER, W.; BORCHARDT, S. Association between transfer of passive immunity, health, and performance of female dairy calves from birth to weaning. </w:t>
      </w:r>
      <w:r>
        <w:rPr>
          <w:rFonts w:cs="Arial" w:ascii="Arial" w:hAnsi="Arial"/>
          <w:b/>
          <w:bCs/>
          <w:color w:val="auto"/>
          <w:sz w:val="22"/>
          <w:szCs w:val="22"/>
        </w:rPr>
        <w:t>Journal Of Dairy Science</w:t>
      </w:r>
      <w:r>
        <w:rPr>
          <w:rFonts w:cs="Arial" w:ascii="Arial" w:hAnsi="Arial"/>
          <w:color w:val="auto"/>
          <w:sz w:val="22"/>
          <w:szCs w:val="22"/>
        </w:rPr>
        <w:t>, v.106, n.10, p.7043-7055, 2023. DOI: https://doi.org/10.3168/jds.2022-22448</w:t>
      </w:r>
    </w:p>
    <w:sectPr>
      <w:headerReference w:type="default" r:id="rId8"/>
      <w:footerReference w:type="default" r:id="rId9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e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rPr>
        <w:lang w:val="pt-BR"/>
      </w:rPr>
    </w:pPr>
    <w:r>
      <w:rPr>
        <w:lang w:val="pt-BR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pBdr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eastAsia="en-US" w:val="pt-BR" w:bidi="ar-SA"/>
    </w:rPr>
  </w:style>
  <w:style w:type="paragraph" w:styleId="Ttulo1">
    <w:name w:val="Heading 1"/>
    <w:basedOn w:val="Normal"/>
    <w:link w:val="Ttulo1Char"/>
    <w:uiPriority w:val="9"/>
    <w:qFormat/>
    <w:rsid w:val="005508fd"/>
    <w:pPr>
      <w:pBdr/>
      <w:spacing w:beforeAutospacing="1" w:afterAutospacing="1"/>
      <w:outlineLvl w:val="0"/>
    </w:pPr>
    <w:rPr>
      <w:rFonts w:eastAsia="Times New Roman"/>
      <w:b/>
      <w:bCs/>
      <w:kern w:val="2"/>
      <w:sz w:val="48"/>
      <w:szCs w:val="48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CorpodetextoChar" w:customStyle="1">
    <w:name w:val="Corpo de texto Char"/>
    <w:basedOn w:val="DefaultParagraphFont"/>
    <w:uiPriority w:val="99"/>
    <w:semiHidden/>
    <w:qFormat/>
    <w:rsid w:val="00a8792e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0075b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8874e4"/>
    <w:rPr>
      <w:b/>
      <w:bCs/>
    </w:rPr>
  </w:style>
  <w:style w:type="character" w:styleId="Ttulo1Char" w:customStyle="1">
    <w:name w:val="Título 1 Char"/>
    <w:basedOn w:val="DefaultParagraphFont"/>
    <w:uiPriority w:val="9"/>
    <w:qFormat/>
    <w:rsid w:val="005508fd"/>
    <w:rPr>
      <w:rFonts w:eastAsia="Times New Roman"/>
      <w:b/>
      <w:bCs/>
      <w:kern w:val="2"/>
      <w:sz w:val="48"/>
      <w:szCs w:val="48"/>
    </w:rPr>
  </w:style>
  <w:style w:type="character" w:styleId="Titletext" w:customStyle="1">
    <w:name w:val="title-text"/>
    <w:basedOn w:val="DefaultParagraphFont"/>
    <w:qFormat/>
    <w:rsid w:val="005508fd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437e9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5437e9"/>
    <w:rPr>
      <w:lang w:eastAsia="en-US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5437e9"/>
    <w:rPr>
      <w:b/>
      <w:bCs/>
      <w:lang w:eastAsia="en-US"/>
    </w:rPr>
  </w:style>
  <w:style w:type="character" w:styleId="Identifier" w:customStyle="1">
    <w:name w:val="identifier"/>
    <w:basedOn w:val="DefaultParagraphFont"/>
    <w:qFormat/>
    <w:rsid w:val="00997d50"/>
    <w:rPr/>
  </w:style>
  <w:style w:type="character" w:styleId="Anchortext" w:customStyle="1">
    <w:name w:val="anchor-text"/>
    <w:basedOn w:val="DefaultParagraphFont"/>
    <w:qFormat/>
    <w:rsid w:val="005d1e1d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99"/>
    <w:semiHidden/>
    <w:unhideWhenUsed/>
    <w:rsid w:val="00a8792e"/>
    <w:pPr>
      <w:spacing w:before="0" w:after="120"/>
    </w:pPr>
    <w:rPr/>
  </w:style>
  <w:style w:type="paragraph" w:styleId="Lista">
    <w:name w:val="List"/>
    <w:basedOn w:val="Corpodotexto"/>
    <w:rsid w:val="00a8792e"/>
    <w:pPr>
      <w:pBdr/>
      <w:spacing w:lineRule="auto" w:line="276" w:before="0" w:after="140"/>
    </w:pPr>
    <w:rPr>
      <w:rFonts w:ascii="Arial" w:hAnsi="Arial" w:eastAsia="Arial" w:cs="Arial"/>
      <w:sz w:val="22"/>
      <w:szCs w:val="22"/>
      <w:lang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customStyle="1">
    <w:name w:val="LO-normal"/>
    <w:qFormat/>
    <w:pPr>
      <w:widowControl/>
      <w:pBdr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pt-BR" w:bidi="ar-SA"/>
    </w:rPr>
  </w:style>
  <w:style w:type="paragraph" w:styleId="CabealhoeRodap" w:customStyle="1">
    <w:name w:val="Cabeçalho e Rodapé"/>
    <w:qFormat/>
    <w:pPr>
      <w:widowControl/>
      <w:pBdr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pt-BR" w:eastAsia="pt-BR" w:bidi="ar-SA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semiHidden/>
    <w:unhideWhenUsed/>
    <w:qFormat/>
    <w:rsid w:val="008874e4"/>
    <w:pPr>
      <w:pBdr/>
      <w:spacing w:beforeAutospacing="1" w:afterAutospacing="1"/>
    </w:pPr>
    <w:rPr>
      <w:rFonts w:eastAsia="Times New Roman"/>
      <w:lang w:eastAsia="pt-BR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5437e9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5437e9"/>
    <w:pPr/>
    <w:rPr>
      <w:b/>
      <w:bCs/>
    </w:rPr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vitorianani1@gmail.com" TargetMode="External"/><Relationship Id="rId4" Type="http://schemas.openxmlformats.org/officeDocument/2006/relationships/hyperlink" Target="https://doi.org/10.3168/jds.2021-20671" TargetMode="External"/><Relationship Id="rId5" Type="http://schemas.openxmlformats.org/officeDocument/2006/relationships/hyperlink" Target="https://doi.org/10.3168/jds.2022-22669" TargetMode="External"/><Relationship Id="rId6" Type="http://schemas.openxmlformats.org/officeDocument/2006/relationships/hyperlink" Target="https://doi.org/10.3168/jds.2022-22210" TargetMode="External"/><Relationship Id="rId7" Type="http://schemas.openxmlformats.org/officeDocument/2006/relationships/hyperlink" Target="https://doi.org/10.3168/jdsc.2021-0192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LibreOffice/7.3.2.2$Windows_X86_64 LibreOffice_project/49f2b1bff42cfccbd8f788c8dc32c1c309559be0</Application>
  <AppVersion>15.0000</AppVersion>
  <Pages>2</Pages>
  <Words>1275</Words>
  <Characters>7166</Characters>
  <CharactersWithSpaces>8429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2023-09-27T17:40:00Z</dcterms:created>
  <dc:creator>Vitória Cristina Fortunato</dc:creator>
  <dc:description/>
  <dc:language>pt-BR</dc:language>
  <cp:lastModifiedBy>Vitória Cristina Fortunato</cp:lastModifiedBy>
  <dcterms:modified xsi:type="dcterms:W3CDTF">2023-09-27T17:41:00Z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