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spacing w:lineRule="auto" w:line="276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>CASO DE FEBRE CATARRAL MALIGNA EM BOVINO LEITEIRO NO OESTE CATARINENSE EM 2023</w:t>
      </w:r>
    </w:p>
    <w:p>
      <w:pPr>
        <w:pStyle w:val="Normal"/>
        <w:pBdr/>
        <w:spacing w:lineRule="auto" w:line="276"/>
        <w:jc w:val="center"/>
        <w:rPr>
          <w:rFonts w:ascii="Arial" w:hAnsi="Arial" w:eastAsia="Arial" w:cs="Arial"/>
          <w:b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sz w:val="20"/>
          <w:szCs w:val="20"/>
          <w:vertAlign w:val="superscript"/>
          <w:lang w:val="pt-BR"/>
        </w:rPr>
      </w:pPr>
      <w:r>
        <w:rPr>
          <w:rFonts w:eastAsia="Arial" w:cs="Arial" w:ascii="Arial" w:hAnsi="Arial"/>
          <w:sz w:val="20"/>
          <w:szCs w:val="20"/>
          <w:u w:val="single"/>
          <w:lang w:val="pt-BR"/>
        </w:rPr>
        <w:t>Simone Silveira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1</w:t>
      </w:r>
      <w:r>
        <w:rPr>
          <w:rFonts w:eastAsia="Arial" w:cs="Arial" w:ascii="Arial" w:hAnsi="Arial"/>
          <w:sz w:val="20"/>
          <w:szCs w:val="20"/>
          <w:lang w:val="pt-BR"/>
        </w:rPr>
        <w:t>, Francieli A. Molossi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1</w:t>
      </w:r>
      <w:r>
        <w:rPr>
          <w:rFonts w:eastAsia="Arial" w:cs="Arial" w:ascii="Arial" w:hAnsi="Arial"/>
          <w:sz w:val="20"/>
          <w:szCs w:val="20"/>
          <w:lang w:val="pt-BR"/>
        </w:rPr>
        <w:t>, Cláudia Balzan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1</w:t>
      </w:r>
      <w:r>
        <w:rPr>
          <w:rFonts w:eastAsia="Arial" w:cs="Arial" w:ascii="Arial" w:hAnsi="Arial"/>
          <w:sz w:val="20"/>
          <w:szCs w:val="20"/>
          <w:lang w:val="pt-BR"/>
        </w:rPr>
        <w:t>, Maristela D. Maba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2</w:t>
      </w:r>
      <w:r>
        <w:rPr>
          <w:rFonts w:eastAsia="Arial" w:cs="Arial" w:ascii="Arial" w:hAnsi="Arial"/>
          <w:sz w:val="20"/>
          <w:szCs w:val="20"/>
          <w:lang w:val="pt-BR"/>
        </w:rPr>
        <w:t>, Leticia F. Baumbach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3</w:t>
      </w:r>
      <w:r>
        <w:rPr>
          <w:rFonts w:eastAsia="Arial" w:cs="Arial" w:ascii="Arial" w:hAnsi="Arial"/>
          <w:sz w:val="20"/>
          <w:szCs w:val="20"/>
          <w:lang w:val="pt-BR"/>
        </w:rPr>
        <w:t>, Maysa B. Chitolina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4</w:t>
      </w:r>
      <w:r>
        <w:rPr>
          <w:rFonts w:eastAsia="Arial" w:cs="Arial" w:ascii="Arial" w:hAnsi="Arial"/>
          <w:sz w:val="20"/>
          <w:szCs w:val="20"/>
          <w:lang w:val="pt-BR"/>
        </w:rPr>
        <w:t>, Cláudio W. Canal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5</w:t>
      </w:r>
      <w:r>
        <w:rPr>
          <w:rFonts w:eastAsia="Arial" w:cs="Arial" w:ascii="Arial" w:hAnsi="Arial"/>
          <w:sz w:val="20"/>
          <w:szCs w:val="20"/>
          <w:lang w:val="pt-BR"/>
        </w:rPr>
        <w:t>, Giovana Camillo</w:t>
      </w: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1</w:t>
      </w:r>
    </w:p>
    <w:p>
      <w:pPr>
        <w:pStyle w:val="Normal"/>
        <w:jc w:val="center"/>
        <w:rPr>
          <w:rFonts w:ascii="Arial" w:hAnsi="Arial" w:eastAsia="Arial" w:cs="Arial"/>
          <w:sz w:val="20"/>
          <w:szCs w:val="20"/>
          <w:vertAlign w:val="superscript"/>
          <w:lang w:val="pt-BR"/>
        </w:rPr>
      </w:pPr>
      <w:r>
        <w:rPr>
          <w:rFonts w:eastAsia="Arial" w:cs="Arial" w:ascii="Arial" w:hAnsi="Arial"/>
          <w:sz w:val="20"/>
          <w:szCs w:val="20"/>
          <w:vertAlign w:val="superscript"/>
          <w:lang w:val="pt-BR"/>
        </w:rPr>
      </w:r>
    </w:p>
    <w:p>
      <w:pPr>
        <w:pStyle w:val="Normal"/>
        <w:pBdr/>
        <w:jc w:val="center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vertAlign w:val="superscript"/>
          <w:lang w:val="pt-BR"/>
        </w:rPr>
        <w:t>1</w:t>
      </w:r>
      <w:r>
        <w:rPr>
          <w:rFonts w:eastAsia="Arial" w:cs="Arial" w:ascii="Arial" w:hAnsi="Arial"/>
          <w:sz w:val="20"/>
          <w:szCs w:val="20"/>
          <w:lang w:val="pt-BR"/>
        </w:rPr>
        <w:t>Docente do curso de Medicina Veterinária e do mestrado em Sanidade e Produção Animal da Universidade do Oeste de Santa Catarina - UNOESC, Xanxerê - SC</w:t>
      </w:r>
      <w:r>
        <w:rPr>
          <w:rFonts w:eastAsia="Arial" w:cs="Arial" w:ascii="Arial" w:hAnsi="Arial"/>
          <w:color w:val="000000"/>
          <w:sz w:val="20"/>
          <w:szCs w:val="20"/>
          <w:lang w:val="pt-BR"/>
        </w:rPr>
        <w:t xml:space="preserve">, 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lang w:val="pt-BR"/>
        </w:rPr>
      </w:pP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2</w:t>
      </w:r>
      <w:r>
        <w:rPr>
          <w:rFonts w:eastAsia="Arial" w:cs="Arial" w:ascii="Arial" w:hAnsi="Arial"/>
          <w:sz w:val="20"/>
          <w:szCs w:val="20"/>
          <w:lang w:val="pt-BR"/>
        </w:rPr>
        <w:t>Médica Veterinária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lang w:val="pt-BR"/>
        </w:rPr>
      </w:pP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3</w:t>
      </w:r>
      <w:r>
        <w:rPr>
          <w:rFonts w:eastAsia="Arial" w:cs="Arial" w:ascii="Arial" w:hAnsi="Arial"/>
          <w:sz w:val="20"/>
          <w:szCs w:val="20"/>
          <w:lang w:val="pt-BR"/>
        </w:rPr>
        <w:t>Doutoranda no Programa de Pós-Graduação em Ciências Veterinárias, UFRGS, RS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lang w:val="pt-BR"/>
        </w:rPr>
      </w:pP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4</w:t>
      </w:r>
      <w:r>
        <w:rPr>
          <w:rFonts w:eastAsia="Arial" w:cs="Arial" w:ascii="Arial" w:hAnsi="Arial"/>
          <w:sz w:val="20"/>
          <w:szCs w:val="20"/>
          <w:lang w:val="pt-BR"/>
        </w:rPr>
        <w:t xml:space="preserve">Mestranda do curso de mestrado em Sanidade e Produção Animal - UNOESC, Xanxerê, </w:t>
      </w:r>
    </w:p>
    <w:p>
      <w:pPr>
        <w:pStyle w:val="Normal"/>
        <w:pBdr/>
        <w:jc w:val="center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sz w:val="20"/>
          <w:szCs w:val="20"/>
          <w:vertAlign w:val="superscript"/>
          <w:lang w:val="pt-BR"/>
        </w:rPr>
        <w:t>5</w:t>
      </w:r>
      <w:r>
        <w:rPr>
          <w:rFonts w:eastAsia="Arial" w:cs="Arial" w:ascii="Arial" w:hAnsi="Arial"/>
          <w:sz w:val="20"/>
          <w:szCs w:val="20"/>
          <w:lang w:val="pt-BR"/>
        </w:rPr>
        <w:t>Docente do Programa de Pós-Graduação em Ciências Veterinárias, UFRGS, RS</w:t>
      </w:r>
    </w:p>
    <w:p>
      <w:pPr>
        <w:pStyle w:val="Normal"/>
        <w:pBdr/>
        <w:jc w:val="center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  <w:t xml:space="preserve">E-mail: </w:t>
      </w:r>
      <w:r>
        <w:rPr>
          <w:rFonts w:eastAsia="Arial" w:cs="Arial" w:ascii="Arial" w:hAnsi="Arial"/>
          <w:sz w:val="20"/>
          <w:szCs w:val="20"/>
          <w:lang w:val="pt-BR"/>
        </w:rPr>
        <w:t>simonesilveira@unoesc.edu.br</w:t>
      </w:r>
    </w:p>
    <w:p>
      <w:pPr>
        <w:pStyle w:val="Normal"/>
        <w:pBdr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Normal"/>
        <w:pBdr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Contribuição para a sociedade: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 </w:t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O presente estudo relata um caso de febre catarral maligna (FCM) ocorrida em um bovino em uma propriedade leiteira do oeste catarinense em 2023. A FCM foi causada pelo hespesvírus ovino tipo 2 (OvHV-2), um vírus que infecta ovinos sem causar sintomatologia clínica, entretanto que é fatal em bovinos quando transmitido de ovinos infectados. Portanto, esse resumo relata um caso de FCM, uma doença que muitas vezes é subdiagnosticada, e ressalta a importância dos rebanhos ovinos e bovinos serem mantidos separados e sem nenhum contato a fim evitar a transmissão de patógenos entre essas duas espécies animais.</w:t>
      </w:r>
    </w:p>
    <w:p>
      <w:pPr>
        <w:pStyle w:val="Normal"/>
        <w:pBdr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Palavras-chave</w:t>
      </w:r>
      <w:r>
        <w:rPr>
          <w:rFonts w:eastAsia="Arial" w:cs="Arial" w:ascii="Arial" w:hAnsi="Arial"/>
          <w:color w:val="000000"/>
          <w:sz w:val="22"/>
          <w:szCs w:val="22"/>
          <w:lang w:val="pt-BR"/>
        </w:rPr>
        <w:t xml:space="preserve">: Herpesvírus </w:t>
      </w:r>
      <w:r>
        <w:rPr>
          <w:rFonts w:eastAsia="Arial" w:cs="Arial" w:ascii="Arial" w:hAnsi="Arial"/>
          <w:sz w:val="22"/>
          <w:szCs w:val="22"/>
          <w:lang w:val="pt-BR"/>
        </w:rPr>
        <w:t>ovino, ovinos, bovinocultura</w:t>
      </w:r>
      <w:bookmarkStart w:id="0" w:name="_GoBack"/>
      <w:bookmarkEnd w:id="0"/>
      <w:r>
        <w:rPr>
          <w:rFonts w:eastAsia="Arial" w:cs="Arial" w:ascii="Arial" w:hAnsi="Arial"/>
          <w:sz w:val="22"/>
          <w:szCs w:val="22"/>
          <w:lang w:val="pt-BR"/>
        </w:rPr>
        <w:t>, diagnóstico laboratorial.</w:t>
      </w:r>
    </w:p>
    <w:p>
      <w:pPr>
        <w:pStyle w:val="Normal"/>
        <w:pBdr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Normal"/>
        <w:pBdr/>
        <w:jc w:val="both"/>
        <w:rPr>
          <w:rFonts w:ascii="Arial" w:hAnsi="Arial" w:eastAsia="Arial" w:cs="Arial"/>
          <w:b/>
          <w:b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 xml:space="preserve">Descrição do caso: </w:t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 xml:space="preserve">O caso aconteceu em uma propriedade localizada em Xanxerê, SC, com 800 vacas em lactação, em sistema intensivo, alimentação a base de silagem e ração. Um bovino, fêmea, 4 anos de idade da raça Holandesa iniciou manifestação de secreção muco-fibrinosa, com áreas necróticas frequentemente recobertas por fibrina, multifocais a coalescentes na mucosa nasal, espelho nasal e gengivas, mucosa labial e vulva. Ainda, observou-se opacidade de córnea bilateral, opistótono, nistagmo, decúbito lateral com movimentos de pedalagem evoluindo para coma e morte (Figura 1). O curso clínico durou cerca de 5 dias. A vaca foi submetida a avaliação </w:t>
      </w:r>
      <w:r>
        <w:rPr>
          <w:rFonts w:eastAsia="Arial" w:cs="Arial" w:ascii="Arial" w:hAnsi="Arial"/>
          <w:i/>
          <w:sz w:val="22"/>
          <w:szCs w:val="22"/>
          <w:lang w:val="pt-BR"/>
        </w:rPr>
        <w:t>post mortem</w:t>
      </w:r>
      <w:r>
        <w:rPr>
          <w:rFonts w:eastAsia="Arial" w:cs="Arial" w:ascii="Arial" w:hAnsi="Arial"/>
          <w:sz w:val="22"/>
          <w:szCs w:val="22"/>
          <w:lang w:val="pt-BR"/>
        </w:rPr>
        <w:t xml:space="preserve"> e fragmentos dos órgãos foram coletados em formalina 10%, processados rotineiramente para avaliação histopatológica, corados com a técnica de hematoxilina e eosina e avaliados em microscópio óptico. Amostras de suabe nasal, fragmentos de pulmão e sistema nervoso central (SNC) foram submetidas a extração de DNA, seguida de reações de PCR.  As amostras de suabe nasal, pulmão e SNC foram testadas por reações de PCR para detecção do hespesvírus bovino tipo 1 (BoHV-1) e tipo 5 (BoHV-5) (ESTEVES et al., 2008). Para detecção de hespesvírus ovino tipo 2 (OvHV-2) foram utilizadas as amostras de suabe nasal e SNC (</w:t>
      </w:r>
      <w:r>
        <w:rPr>
          <w:rFonts w:eastAsia="Arial" w:cs="Arial" w:ascii="Arial" w:hAnsi="Arial"/>
          <w:color w:val="212121"/>
          <w:sz w:val="22"/>
          <w:szCs w:val="22"/>
          <w:highlight w:val="white"/>
          <w:lang w:val="pt-BR"/>
        </w:rPr>
        <w:t>BAXTER et al, 1993).</w:t>
      </w:r>
      <w:r>
        <w:rPr>
          <w:rFonts w:eastAsia="Arial" w:cs="Arial" w:ascii="Arial" w:hAnsi="Arial"/>
          <w:sz w:val="22"/>
          <w:szCs w:val="22"/>
          <w:lang w:val="pt-BR"/>
        </w:rPr>
        <w:t xml:space="preserve"> Para detecção de patógenos respiratórios, os suabes nasais também foram testados por PCR para identificação de Influenza D, parainfluenza bovina tipo 3 (PI-3, atualmente denominado respirovirus bovino 3), vírus respiratório sincicial bovino (BRSV, atualmente denominado orthopneumovírus bovino), pestivírus (BVDV) (</w:t>
      </w:r>
      <w:r>
        <w:rPr>
          <w:rFonts w:eastAsia="Arial" w:cs="Arial" w:ascii="Arial" w:hAnsi="Arial"/>
          <w:color w:val="00000A"/>
          <w:sz w:val="22"/>
          <w:szCs w:val="22"/>
          <w:highlight w:val="white"/>
          <w:lang w:val="pt-BR"/>
        </w:rPr>
        <w:t>GAETA</w:t>
      </w:r>
      <w:r>
        <w:rPr>
          <w:rFonts w:eastAsia="Arial" w:cs="Arial" w:ascii="Arial" w:hAnsi="Arial"/>
          <w:sz w:val="22"/>
          <w:szCs w:val="22"/>
          <w:lang w:val="pt-BR"/>
        </w:rPr>
        <w:t xml:space="preserve"> et al., 2011; </w:t>
      </w:r>
      <w:r>
        <w:rPr>
          <w:rFonts w:eastAsia="Arial" w:cs="Arial" w:ascii="Arial" w:hAnsi="Arial"/>
          <w:color w:val="212121"/>
          <w:sz w:val="22"/>
          <w:szCs w:val="22"/>
          <w:highlight w:val="white"/>
          <w:lang w:val="pt-BR"/>
        </w:rPr>
        <w:t>VILCEK et al., 1994; WEBER et al., 2014).</w:t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sz w:val="22"/>
          <w:szCs w:val="22"/>
          <w:lang w:val="pt-BR"/>
        </w:rPr>
      </w:pPr>
      <w:r>
        <w:rPr>
          <w:rFonts w:eastAsia="Arial" w:cs="Arial" w:ascii="Arial" w:hAnsi="Arial"/>
          <w:b/>
          <w:sz w:val="22"/>
          <w:szCs w:val="22"/>
          <w:lang w:val="pt-BR"/>
        </w:rPr>
        <w:t xml:space="preserve">Resultados: </w:t>
      </w:r>
    </w:p>
    <w:p>
      <w:pPr>
        <w:pStyle w:val="Normal"/>
        <w:ind w:firstLine="72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Os principais achados macroscópicos foram mucosas conjuntivas congestas, áreas necróticas com deposição de fibrina na mucosa nasal, espelho nasal, gengivas, mucosa labial e vulva, e opacidade de córnea. Os achados microscópicos consistiram de infiltrado inflamatório de macrófagos e linfócitos perivasculares no neurópilo e meninges com degeneração fibrinoide da parede de vasos sanguíneos, no encéfalo e rete mirabile, de maneira multifocal, moderada a acentuada. Nos rins também notou-se degeneração fibrinoide da parede de artérias de maneira multifocal e moderada. O animal testou positivo para (OvHV-2) e negativo para os demais patógenos testados por PCR. A identificação viral foi confirmada por sequenciamento de DNA tipo Sanger.</w:t>
      </w:r>
    </w:p>
    <w:p>
      <w:pPr>
        <w:pStyle w:val="Normal"/>
        <w:jc w:val="center"/>
        <w:rPr>
          <w:rFonts w:ascii="Arial" w:hAnsi="Arial" w:eastAsia="Arial" w:cs="Arial"/>
          <w:sz w:val="22"/>
          <w:szCs w:val="22"/>
          <w:lang w:val="pt-BR"/>
        </w:rPr>
      </w:pPr>
      <w:r>
        <w:rPr/>
        <w:drawing>
          <wp:inline distT="0" distB="0" distL="0" distR="0">
            <wp:extent cx="3244850" cy="2465070"/>
            <wp:effectExtent l="0" t="0" r="0" b="0"/>
            <wp:docPr id="1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Figura 1.  Animal apresentando opistótono, descarga nasal, opacidade de córnea e secreção muco-fibrinosa na mucosa labial e vulva.</w:t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ind w:firstLine="72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A sequência do isolado apresentou uma alta similaridade (&gt;99%) com outras sequências de isolados de OvHV-2 brasileiros detectados em ovinos no PR e em bovinos no MT (figura 2).  O OvHV-2 é o principal herpesvírus causador da febre catarral maligna (FCM), uma doença fatal que acomete além de ovinos, bovinos e outros ruminantes. A doença tem uma baixa prevalência, mas é observada em todo mundo, principalmente em propriedades onde ovinos e bovinos são mantidos juntos ou próximos, permitindo algum tipo de contato entre eles (RUSSEL, 2009). Por mais que a doença seja fatal em bovinos, em ovinos, o hospedeiro natural do vírus, não é observado nenhum sinal clínico. Desta forma, a FCM não impacta a ovinocultura, no entanto os ovinos se infectados, atuam como reservatórios, podendo transmitir o vírus para os bovinos. Portanto, os ovinos apresentam um papel epidemiológico relevante. Na propriedade onde ocorreu o caso de FCM há um rebanho ovino que é mantido próximo ao rebanho bovino. À vista disso é provável que esse rebanho ovino tenha sido a fonte de infecção.</w:t>
      </w:r>
    </w:p>
    <w:p>
      <w:pPr>
        <w:pStyle w:val="Normal"/>
        <w:ind w:firstLine="720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sz w:val="22"/>
          <w:szCs w:val="22"/>
          <w:lang w:val="pt-BR"/>
        </w:rPr>
      </w:pPr>
      <w:r>
        <w:rPr>
          <w:rFonts w:eastAsia="Arial" w:cs="Arial" w:ascii="Arial" w:hAnsi="Arial"/>
          <w:b/>
          <w:sz w:val="22"/>
          <w:szCs w:val="22"/>
          <w:lang w:val="pt-BR"/>
        </w:rPr>
        <w:t xml:space="preserve">Conclusão: </w:t>
      </w:r>
      <w:r>
        <w:rPr>
          <w:rFonts w:eastAsia="Arial" w:cs="Arial" w:ascii="Arial" w:hAnsi="Arial"/>
          <w:sz w:val="22"/>
          <w:szCs w:val="22"/>
          <w:lang w:val="pt-BR"/>
        </w:rPr>
        <w:t>um caso de</w:t>
      </w:r>
      <w:r>
        <w:rPr>
          <w:rFonts w:eastAsia="Arial" w:cs="Arial" w:ascii="Arial" w:hAnsi="Arial"/>
          <w:b/>
          <w:sz w:val="22"/>
          <w:szCs w:val="22"/>
          <w:lang w:val="pt-BR"/>
        </w:rPr>
        <w:t xml:space="preserve"> </w:t>
      </w:r>
      <w:r>
        <w:rPr>
          <w:rFonts w:eastAsia="Arial" w:cs="Arial" w:ascii="Arial" w:hAnsi="Arial"/>
          <w:sz w:val="22"/>
          <w:szCs w:val="22"/>
          <w:lang w:val="pt-BR"/>
        </w:rPr>
        <w:t>febre catarral maligna (FCM) foi diagnosticado em uma vaca de quatro anos de idade. O animal apresentou sinais respiratórios e sinais neurológicos característicos da doença e o curso clínico durou menos de cinco dias, levando o animal à morte. A FCM é uma doença rara, porém precisa ser lembrada principalmente em propriedades que possuem rebanhos bovinos e ovinos que são mantidos em contato próximo. A doença tem um curso clínico curto, não tem tratamento específico e é fatal.</w:t>
      </w:r>
    </w:p>
    <w:p>
      <w:pPr>
        <w:pStyle w:val="Normal"/>
        <w:pBdr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pBdr/>
        <w:jc w:val="center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pBdr/>
        <w:jc w:val="center"/>
        <w:rPr>
          <w:rFonts w:ascii="Arial" w:hAnsi="Arial" w:eastAsia="Arial" w:cs="Arial"/>
          <w:sz w:val="22"/>
          <w:szCs w:val="22"/>
          <w:lang w:val="pt-BR"/>
        </w:rPr>
      </w:pPr>
      <w:r>
        <w:rPr/>
        <w:drawing>
          <wp:inline distT="0" distB="0" distL="0" distR="0">
            <wp:extent cx="3163570" cy="2525395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pBdr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  <w:t>Figura 2 - Árvore filogenética - sequência parcial do gene do tegumento do OvHV-2. A amostra SC93/23b foi identificada no caso de FCM ocorrida em bovino no oeste catarinense em 2023. Nome do isolado - país - hospedeiro - ano.</w:t>
      </w:r>
    </w:p>
    <w:p>
      <w:pPr>
        <w:pStyle w:val="Normal"/>
        <w:pBdr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sz w:val="22"/>
          <w:szCs w:val="22"/>
          <w:lang w:val="pt-BR"/>
        </w:rPr>
      </w:r>
    </w:p>
    <w:p>
      <w:pPr>
        <w:pStyle w:val="Normal"/>
        <w:pBdr/>
        <w:jc w:val="both"/>
        <w:rPr>
          <w:rFonts w:ascii="Arial" w:hAnsi="Arial" w:eastAsia="Arial" w:cs="Arial"/>
          <w:b/>
          <w:b/>
          <w:sz w:val="22"/>
          <w:szCs w:val="22"/>
          <w:lang w:val="pt-BR"/>
        </w:rPr>
      </w:pPr>
      <w:r>
        <w:rPr>
          <w:rFonts w:eastAsia="Arial" w:cs="Arial" w:ascii="Arial" w:hAnsi="Arial"/>
          <w:b/>
          <w:sz w:val="22"/>
          <w:szCs w:val="22"/>
          <w:lang w:val="pt-BR"/>
        </w:rPr>
      </w:r>
    </w:p>
    <w:p>
      <w:pPr>
        <w:pStyle w:val="Normal"/>
        <w:pBdr/>
        <w:jc w:val="both"/>
        <w:rPr>
          <w:rFonts w:ascii="Arial" w:hAnsi="Arial" w:eastAsia="Arial" w:cs="Arial"/>
          <w:color w:val="FF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  <w:lang w:val="pt-BR"/>
        </w:rPr>
        <w:t>Referências: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76" w:before="240" w:after="240"/>
        <w:jc w:val="both"/>
        <w:rPr>
          <w:rFonts w:ascii="Arial" w:hAnsi="Arial" w:eastAsia="Arial" w:cs="Arial"/>
          <w:color w:val="212121"/>
          <w:sz w:val="22"/>
          <w:szCs w:val="22"/>
        </w:rPr>
      </w:pPr>
      <w:r>
        <w:rPr>
          <w:rFonts w:eastAsia="Arial" w:cs="Arial" w:ascii="Arial" w:hAnsi="Arial"/>
          <w:color w:val="212121"/>
          <w:sz w:val="22"/>
          <w:szCs w:val="22"/>
          <w:highlight w:val="white"/>
        </w:rPr>
        <w:t>BAXTER, S.I; POW, I; BRIDGEN, A; REID, H.W.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color w:val="212121"/>
          <w:sz w:val="22"/>
          <w:szCs w:val="22"/>
        </w:rPr>
        <w:t>PCR detection of the sheep-associated agent of malignant catarrhal fever. Archives of Virology, v. 132, n.1-2, p. 145-59,1993.</w:t>
      </w:r>
    </w:p>
    <w:p>
      <w:pPr>
        <w:pStyle w:val="Normal"/>
        <w:spacing w:before="240" w:after="240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  <w:highlight w:val="white"/>
        </w:rPr>
        <w:t>GAETA, N. C; RIBEIRO, L. M. B; ALEMÁN, M. A. R; THOMAZELLI, L. M; DURIGON, E. L; NOGUEIRA, A. H. D; DE STEFANO, E; OKUDA, L, H; PITUCO, E. M; GREGORY, L.</w:t>
      </w:r>
      <w:r>
        <w:rPr>
          <w:rFonts w:eastAsia="Arial" w:cs="Arial" w:ascii="Arial" w:hAnsi="Arial"/>
          <w:color w:val="00000A"/>
          <w:sz w:val="22"/>
          <w:szCs w:val="22"/>
        </w:rPr>
        <w:t xml:space="preserve"> Evaluation of bovine Parainfluenza type-3 virus and Influenza virus D participation in bovine respiratory disease of calves from Brazilian family farming. Medicina Veterinária (UFRPE), v. 1, n. 4, p. 227–232, 2018.</w:t>
      </w:r>
    </w:p>
    <w:p>
      <w:pPr>
        <w:pStyle w:val="Normal"/>
        <w:spacing w:before="240" w:after="240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212121"/>
          <w:sz w:val="22"/>
          <w:szCs w:val="22"/>
          <w:highlight w:val="white"/>
        </w:rPr>
        <w:t>ESTEVES, P.A; DELLAGOSTIN, O.A; PINTO, L.S; SILVA, A.D; SPILKI, F.R; CIACCI-ZANELLA, J.R; HÜBNER, S.O; PUENTES, R; MAISONNAVE, J; FRANCO, A.C; RIJSEWIJK, F.A; BATISTA, H.B; TEIXEIRA, T.F; DEZEN, D; OLIVEIRA, A.P; DAVID, C; ARNS, C.W. ROEHE, P.M.</w:t>
      </w:r>
      <w:r>
        <w:rPr>
          <w:rFonts w:eastAsia="Arial" w:cs="Arial" w:ascii="Arial" w:hAnsi="Arial"/>
          <w:color w:val="00000A"/>
          <w:sz w:val="22"/>
          <w:szCs w:val="22"/>
        </w:rPr>
        <w:t xml:space="preserve"> Phylogenetic comparison of the carboxy-terminal region of glycoprotein C (gC) of bovine herpesviruses (BoHV) 1.1, 1.2 and 5 from South America (SA). Virus Research, v. 131, p. 16 - 22, 2008.</w:t>
      </w:r>
    </w:p>
    <w:p>
      <w:pPr>
        <w:pStyle w:val="Normal"/>
        <w:spacing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color w:val="212121"/>
          <w:sz w:val="22"/>
          <w:szCs w:val="22"/>
          <w:highlight w:val="white"/>
        </w:rPr>
        <w:t>RUSSELL, G.C; STEWART, J.P; HAIG, D, M. Malignant catarrhal fever: a review. The Veterinary Journal, v. 179, n. 3, p. 324-35, 2009.</w:t>
      </w:r>
    </w:p>
    <w:p>
      <w:pPr>
        <w:pStyle w:val="Normal"/>
        <w:spacing w:before="240" w:after="240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212121"/>
          <w:sz w:val="22"/>
          <w:szCs w:val="22"/>
          <w:highlight w:val="white"/>
        </w:rPr>
        <w:t xml:space="preserve">VILCEK, S; ELVANDER, M; BALLAGI-PORDÁNY, A. BELÁK S. </w:t>
      </w:r>
      <w:r>
        <w:rPr>
          <w:rFonts w:eastAsia="Arial" w:cs="Arial" w:ascii="Arial" w:hAnsi="Arial"/>
          <w:color w:val="00000A"/>
          <w:sz w:val="22"/>
          <w:szCs w:val="22"/>
        </w:rPr>
        <w:t>Development of nested PCR assays for detection of bovine respiratory syncytial virus in clinical samples. Journal of Clinical Microbiology. v.35, 2225-2231, 1994.</w:t>
      </w:r>
    </w:p>
    <w:p>
      <w:pPr>
        <w:pStyle w:val="Normal"/>
        <w:spacing w:before="240" w:after="240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212121"/>
          <w:sz w:val="22"/>
          <w:szCs w:val="22"/>
          <w:highlight w:val="white"/>
        </w:rPr>
        <w:t>WEBER, M.N; SILVEIRA, S; MACHADO, G; GROFF, F.H; MÓSENA, A.C; BUDASZEWSKI, R.F; DUPONT, P.M; CORBELLINI, L.G; CANAL, C.W.</w:t>
      </w:r>
      <w:r>
        <w:rPr>
          <w:rFonts w:eastAsia="Arial" w:cs="Arial" w:ascii="Arial" w:hAnsi="Arial"/>
          <w:color w:val="00000A"/>
          <w:sz w:val="22"/>
          <w:szCs w:val="22"/>
        </w:rPr>
        <w:t xml:space="preserve"> High frequency of bovine viral diarrhea virus type 2 in Southern Brazil. Virus Research, v.191, p. 117-124, 2014.</w:t>
      </w:r>
    </w:p>
    <w:p>
      <w:pPr>
        <w:pStyle w:val="Normal"/>
        <w:pBdr/>
        <w:ind w:right="284" w:hanging="0"/>
        <w:jc w:val="both"/>
        <w:rPr>
          <w:rFonts w:ascii="Cambria" w:hAnsi="Cambria" w:eastAsia="Cambria" w:cs="Cambria"/>
          <w:color w:val="00000A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right" w:pos="9020" w:leader="none"/>
      </w:tabs>
      <w:rPr>
        <w:rFonts w:ascii="Helvetica Neue" w:hAnsi="Helvetica Neue" w:eastAsia="Helvetica Neue" w:cs="Helvetica Neue"/>
        <w:color w:val="000000"/>
      </w:rPr>
    </w:pPr>
    <w:r>
      <w:rPr>
        <w:rFonts w:eastAsia="Helvetica Neue" w:cs="Helvetica Neue" w:ascii="Helvetica Neue" w:hAnsi="Helvetica Neue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rPr>
        <w:rFonts w:ascii="Cambria" w:hAnsi="Cambria" w:eastAsia="Cambria" w:cs="Cambria"/>
        <w:color w:val="00000A"/>
      </w:rPr>
    </w:pPr>
    <w:r>
      <w:rPr>
        <w:rFonts w:eastAsia="Cambria" w:cs="Cambria" w:ascii="Cambria" w:hAnsi="Cambria"/>
        <w:color w:val="00000A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en-US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n-US" w:val="en-US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2336b"/>
    <w:rPr>
      <w:rFonts w:ascii="Tahoma" w:hAnsi="Tahoma" w:cs="Tahoma"/>
      <w:sz w:val="16"/>
      <w:szCs w:val="16"/>
      <w:lang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Arial Unicode MS" w:cs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en-US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2336b"/>
    <w:pPr/>
    <w:rPr>
      <w:rFonts w:ascii="Tahoma" w:hAnsi="Tahoma" w:cs="Tahoma"/>
      <w:sz w:val="16"/>
      <w:szCs w:val="16"/>
    </w:rPr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vv881SmeA01QC/s0UcMpUi0FyPg==">CgMxLjA4AHIhMWlDOGJrY05Ndk5QbURlWUFVclpZSlBzcUVBbmEyY01G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LibreOffice/7.2.1.2$Windows_X86_64 LibreOffice_project/87b77fad49947c1441b67c559c339af8f3517e22</Application>
  <AppVersion>15.0000</AppVersion>
  <Pages>2</Pages>
  <Words>1123</Words>
  <Characters>6205</Characters>
  <CharactersWithSpaces>7310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2023-09-27T11:32:00Z</dcterms:created>
  <dc:creator/>
  <dc:description/>
  <dc:language>pt-BR</dc:language>
  <cp:lastModifiedBy>Win</cp:lastModifiedBy>
  <dcterms:modified xsi:type="dcterms:W3CDTF">2023-09-27T12:32:00Z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