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spacing w:lineRule="auto" w:line="276"/>
        <w:ind w:right="280" w:hanging="0"/>
        <w:jc w:val="center"/>
        <w:rPr>
          <w:rFonts w:ascii="Cambria" w:hAnsi="Cambria" w:eastAsia="Cambria" w:cs="Cambria"/>
          <w:color w:val="00000A"/>
        </w:rPr>
      </w:pPr>
      <w:r>
        <w:rPr>
          <w:rFonts w:eastAsia="Cambria" w:cs="Cambria" w:ascii="Cambria" w:hAnsi="Cambria"/>
          <w:color w:val="00000A"/>
        </w:rPr>
        <w:drawing>
          <wp:anchor behindDoc="1" distT="0" distB="0" distL="0" distR="0" simplePos="0" locked="0" layoutInCell="0" allowOverlap="1" relativeHeight="5">
            <wp:simplePos x="0" y="0"/>
            <wp:positionH relativeFrom="page">
              <wp:align>left</wp:align>
            </wp:positionH>
            <wp:positionV relativeFrom="topMargin">
              <wp:posOffset>-128270</wp:posOffset>
            </wp:positionV>
            <wp:extent cx="7556500" cy="1115060"/>
            <wp:effectExtent l="0" t="0" r="0" b="0"/>
            <wp:wrapNone/>
            <wp:docPr id="1" name="image1.jpg"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p>
    <w:p>
      <w:pPr>
        <w:pStyle w:val="Ttulo1"/>
        <w:keepNext w:val="false"/>
        <w:keepLines w:val="false"/>
        <w:widowControl w:val="false"/>
        <w:spacing w:before="78" w:after="0"/>
        <w:ind w:left="178" w:hanging="0"/>
        <w:jc w:val="center"/>
        <w:rPr>
          <w:rFonts w:ascii="Arial" w:hAnsi="Arial" w:eastAsia="Arial"/>
          <w:sz w:val="28"/>
          <w:szCs w:val="28"/>
        </w:rPr>
      </w:pPr>
      <w:bookmarkStart w:id="0" w:name="_gjdgxs"/>
      <w:bookmarkEnd w:id="0"/>
      <w:r>
        <w:rPr>
          <w:rFonts w:eastAsia="Arial" w:ascii="Arial" w:hAnsi="Arial"/>
          <w:sz w:val="28"/>
          <w:szCs w:val="28"/>
        </w:rPr>
        <w:t>ANÁLISE DA FREQUÊNCIA DE UTILIZAÇÃO DE VOLUMOSOS EM DIETAS NA ALIMENTAÇÃO DE VACAS LEITEIRAS EM CONDIÇÕES EXPERIMENTAIS NO BRASIL</w:t>
      </w:r>
    </w:p>
    <w:p>
      <w:pPr>
        <w:pStyle w:val="LOnormal"/>
        <w:rPr/>
      </w:pPr>
      <w:r>
        <w:rPr/>
      </w:r>
    </w:p>
    <w:p>
      <w:pPr>
        <w:pStyle w:val="Normal"/>
        <w:ind w:right="284" w:hanging="0"/>
        <w:jc w:val="center"/>
        <w:rPr>
          <w:rFonts w:ascii="Arial" w:hAnsi="Arial" w:eastAsia="Arial"/>
          <w:color w:val="000000"/>
          <w:sz w:val="20"/>
          <w:szCs w:val="20"/>
        </w:rPr>
      </w:pPr>
      <w:r>
        <w:rPr>
          <w:rFonts w:eastAsia="Arial" w:ascii="Arial" w:hAnsi="Arial"/>
          <w:sz w:val="20"/>
          <w:szCs w:val="20"/>
          <w:u w:val="single"/>
        </w:rPr>
        <w:t>Ana Luiza Cristovão Gonçalves</w:t>
      </w:r>
      <w:r>
        <w:rPr>
          <w:rFonts w:eastAsia="Arial" w:ascii="Arial" w:hAnsi="Arial"/>
          <w:color w:val="000000"/>
          <w:sz w:val="20"/>
          <w:szCs w:val="20"/>
          <w:u w:val="single"/>
          <w:vertAlign w:val="superscript"/>
        </w:rPr>
        <w:t>1</w:t>
      </w:r>
      <w:r>
        <w:rPr>
          <w:rFonts w:eastAsia="Arial" w:ascii="Arial" w:hAnsi="Arial"/>
          <w:b/>
          <w:color w:val="000000"/>
          <w:sz w:val="20"/>
          <w:szCs w:val="20"/>
        </w:rPr>
        <w:t>,</w:t>
      </w:r>
      <w:r>
        <w:rPr>
          <w:rFonts w:eastAsia="Arial" w:ascii="Arial" w:hAnsi="Arial"/>
          <w:color w:val="000000"/>
          <w:sz w:val="20"/>
          <w:szCs w:val="20"/>
        </w:rPr>
        <w:t xml:space="preserve"> </w:t>
      </w:r>
      <w:r>
        <w:rPr>
          <w:rFonts w:eastAsia="Arial" w:ascii="Arial" w:hAnsi="Arial"/>
          <w:sz w:val="20"/>
          <w:szCs w:val="20"/>
        </w:rPr>
        <w:t>João Pedro Velho</w:t>
      </w:r>
      <w:r>
        <w:rPr>
          <w:rFonts w:eastAsia="Arial" w:ascii="Arial" w:hAnsi="Arial"/>
          <w:sz w:val="20"/>
          <w:szCs w:val="20"/>
          <w:vertAlign w:val="superscript"/>
        </w:rPr>
        <w:t>2</w:t>
      </w:r>
      <w:r>
        <w:rPr>
          <w:rFonts w:eastAsia="Arial" w:ascii="Arial" w:hAnsi="Arial"/>
          <w:color w:val="000000"/>
          <w:sz w:val="20"/>
          <w:szCs w:val="20"/>
        </w:rPr>
        <w:t xml:space="preserve">, </w:t>
      </w:r>
      <w:r>
        <w:rPr>
          <w:rFonts w:eastAsia="Arial" w:ascii="Arial" w:hAnsi="Arial"/>
          <w:sz w:val="20"/>
          <w:szCs w:val="20"/>
        </w:rPr>
        <w:t>Dileta Regina Moro Alessio</w:t>
      </w:r>
      <w:r>
        <w:rPr>
          <w:rFonts w:eastAsia="Arial" w:ascii="Arial" w:hAnsi="Arial"/>
          <w:sz w:val="20"/>
          <w:szCs w:val="20"/>
          <w:vertAlign w:val="superscript"/>
        </w:rPr>
        <w:t>3</w:t>
      </w:r>
      <w:r>
        <w:rPr>
          <w:rFonts w:eastAsia="Arial" w:ascii="Arial" w:hAnsi="Arial"/>
          <w:color w:val="000000"/>
          <w:sz w:val="20"/>
          <w:szCs w:val="20"/>
        </w:rPr>
        <w:t>, Deise Aline Knob</w:t>
      </w:r>
      <w:r>
        <w:rPr>
          <w:rFonts w:eastAsia="Arial" w:ascii="Arial" w:hAnsi="Arial"/>
          <w:color w:val="000000"/>
          <w:sz w:val="20"/>
          <w:szCs w:val="20"/>
          <w:vertAlign w:val="superscript"/>
        </w:rPr>
        <w:t>4</w:t>
      </w:r>
      <w:r>
        <w:rPr>
          <w:rFonts w:eastAsia="Arial" w:ascii="Arial" w:hAnsi="Arial"/>
          <w:color w:val="000000"/>
          <w:sz w:val="20"/>
          <w:szCs w:val="20"/>
        </w:rPr>
        <w:t>, Ione Maria Pereira Haygert-Velho</w:t>
      </w:r>
      <w:r>
        <w:rPr>
          <w:rFonts w:eastAsia="Arial" w:ascii="Arial" w:hAnsi="Arial"/>
          <w:color w:val="000000"/>
          <w:sz w:val="20"/>
          <w:szCs w:val="20"/>
          <w:vertAlign w:val="superscript"/>
        </w:rPr>
        <w:t>2</w:t>
      </w:r>
      <w:r>
        <w:rPr>
          <w:rFonts w:eastAsia="Arial" w:ascii="Arial" w:hAnsi="Arial"/>
          <w:color w:val="000000"/>
          <w:sz w:val="20"/>
          <w:szCs w:val="20"/>
        </w:rPr>
        <w:t>, Eduarda dos Santos Haas</w:t>
      </w:r>
      <w:r>
        <w:rPr>
          <w:rFonts w:eastAsia="Arial" w:ascii="Arial" w:hAnsi="Arial"/>
          <w:color w:val="000000"/>
          <w:sz w:val="20"/>
          <w:szCs w:val="20"/>
          <w:vertAlign w:val="superscript"/>
        </w:rPr>
        <w:t>1</w:t>
      </w:r>
      <w:r>
        <w:rPr>
          <w:rFonts w:eastAsia="Arial" w:ascii="Arial" w:hAnsi="Arial"/>
          <w:color w:val="000000"/>
          <w:sz w:val="20"/>
          <w:szCs w:val="20"/>
        </w:rPr>
        <w:t>, Gabriela Elena Scheineider</w:t>
      </w:r>
      <w:r>
        <w:rPr>
          <w:rFonts w:eastAsia="Arial" w:ascii="Arial" w:hAnsi="Arial"/>
          <w:color w:val="000000"/>
          <w:sz w:val="20"/>
          <w:szCs w:val="20"/>
          <w:vertAlign w:val="superscript"/>
        </w:rPr>
        <w:t>1</w:t>
      </w:r>
      <w:r>
        <w:rPr>
          <w:rFonts w:eastAsia="Arial" w:ascii="Arial" w:hAnsi="Arial"/>
          <w:color w:val="000000"/>
          <w:sz w:val="20"/>
          <w:szCs w:val="20"/>
        </w:rPr>
        <w:t>, André Thaler Neto</w:t>
      </w:r>
      <w:r>
        <w:rPr>
          <w:rFonts w:eastAsia="Arial" w:ascii="Arial" w:hAnsi="Arial"/>
          <w:color w:val="000000"/>
          <w:sz w:val="20"/>
          <w:szCs w:val="20"/>
          <w:vertAlign w:val="superscript"/>
        </w:rPr>
        <w:t>5</w:t>
      </w:r>
    </w:p>
    <w:p>
      <w:pPr>
        <w:pStyle w:val="Normal"/>
        <w:ind w:right="284" w:hanging="0"/>
        <w:jc w:val="center"/>
        <w:rPr>
          <w:rFonts w:ascii="Arial" w:hAnsi="Arial" w:eastAsia="Arial"/>
          <w:color w:val="000000"/>
          <w:sz w:val="22"/>
          <w:szCs w:val="22"/>
        </w:rPr>
      </w:pPr>
      <w:r>
        <w:rPr>
          <w:rFonts w:eastAsia="Arial" w:ascii="Arial" w:hAnsi="Arial"/>
          <w:color w:val="000000"/>
          <w:sz w:val="22"/>
          <w:szCs w:val="22"/>
        </w:rPr>
      </w:r>
    </w:p>
    <w:p>
      <w:pPr>
        <w:pStyle w:val="Normal"/>
        <w:ind w:right="284" w:hanging="0"/>
        <w:jc w:val="center"/>
        <w:rPr>
          <w:rFonts w:ascii="Arial" w:hAnsi="Arial" w:eastAsia="Arial"/>
          <w:color w:val="000000"/>
          <w:sz w:val="20"/>
          <w:szCs w:val="20"/>
        </w:rPr>
      </w:pPr>
      <w:r>
        <w:rPr>
          <w:rFonts w:eastAsia="Arial" w:ascii="Arial" w:hAnsi="Arial"/>
          <w:color w:val="000000"/>
          <w:sz w:val="20"/>
          <w:szCs w:val="20"/>
          <w:vertAlign w:val="superscript"/>
        </w:rPr>
        <w:t>1</w:t>
      </w:r>
      <w:r>
        <w:rPr>
          <w:rFonts w:eastAsia="Arial" w:ascii="Arial" w:hAnsi="Arial"/>
          <w:color w:val="000000"/>
          <w:sz w:val="20"/>
          <w:szCs w:val="20"/>
        </w:rPr>
        <w:t xml:space="preserve"> Discente. Curso de Zootecnia, Universidade Federal de Santa Maria, Campus Palmeira das Missões; </w:t>
      </w:r>
      <w:r>
        <w:rPr>
          <w:rFonts w:eastAsia="Arial" w:ascii="Arial" w:hAnsi="Arial"/>
          <w:color w:val="000000"/>
          <w:sz w:val="20"/>
          <w:szCs w:val="20"/>
          <w:vertAlign w:val="superscript"/>
        </w:rPr>
        <w:t>2</w:t>
      </w:r>
      <w:r>
        <w:rPr>
          <w:rFonts w:eastAsia="Arial" w:ascii="Arial" w:hAnsi="Arial"/>
          <w:color w:val="000000"/>
          <w:sz w:val="20"/>
          <w:szCs w:val="20"/>
        </w:rPr>
        <w:t xml:space="preserve">Docente. Departamento de Zootecnia e Ciências Biológicas; </w:t>
      </w:r>
      <w:r>
        <w:rPr>
          <w:rFonts w:eastAsia="Arial" w:ascii="Arial" w:hAnsi="Arial"/>
          <w:color w:val="000000"/>
          <w:sz w:val="20"/>
          <w:szCs w:val="20"/>
          <w:vertAlign w:val="superscript"/>
        </w:rPr>
        <w:t>3</w:t>
      </w:r>
      <w:r>
        <w:rPr>
          <w:rFonts w:eastAsia="Arial" w:ascii="Arial" w:hAnsi="Arial"/>
          <w:color w:val="000000"/>
          <w:sz w:val="20"/>
          <w:szCs w:val="20"/>
        </w:rPr>
        <w:t xml:space="preserve">Centro Universitário Leonardo da Vinci-UNIASSELVI; </w:t>
      </w:r>
      <w:r>
        <w:rPr>
          <w:rFonts w:eastAsia="Arial" w:ascii="Arial" w:hAnsi="Arial"/>
          <w:color w:val="000000"/>
          <w:sz w:val="20"/>
          <w:szCs w:val="20"/>
          <w:vertAlign w:val="superscript"/>
        </w:rPr>
        <w:t>4</w:t>
      </w:r>
      <w:r>
        <w:rPr>
          <w:rFonts w:eastAsia="Arial" w:ascii="Arial" w:hAnsi="Arial"/>
          <w:color w:val="000000"/>
          <w:sz w:val="20"/>
          <w:szCs w:val="20"/>
        </w:rPr>
        <w:t xml:space="preserve">JUSTUS-LIEBIG-UNIVERSITAT GIESSEN; </w:t>
      </w:r>
      <w:r>
        <w:rPr>
          <w:rFonts w:eastAsia="Arial" w:ascii="Arial" w:hAnsi="Arial"/>
          <w:color w:val="000000"/>
          <w:sz w:val="20"/>
          <w:szCs w:val="20"/>
          <w:vertAlign w:val="superscript"/>
        </w:rPr>
        <w:t>5</w:t>
      </w:r>
      <w:r>
        <w:rPr>
          <w:rFonts w:eastAsia="Arial" w:ascii="Arial" w:hAnsi="Arial"/>
          <w:color w:val="000000"/>
          <w:sz w:val="20"/>
          <w:szCs w:val="20"/>
        </w:rPr>
        <w:t>Departamento de Produção Animal e Alimentos, Centro de Ciências Agroveterinárias da Universidade Estadual de Santa Catarina, E-mail: analuizac.goncalves@gmail.com</w:t>
      </w:r>
    </w:p>
    <w:p>
      <w:pPr>
        <w:pStyle w:val="LOnormal"/>
        <w:ind w:right="284" w:hanging="0"/>
        <w:rPr>
          <w:rFonts w:ascii="Arial" w:hAnsi="Arial" w:eastAsia="Arial"/>
          <w:color w:val="000000"/>
          <w:sz w:val="22"/>
          <w:szCs w:val="22"/>
        </w:rPr>
      </w:pPr>
      <w:r>
        <w:rPr>
          <w:rFonts w:eastAsia="Arial" w:ascii="Arial" w:hAnsi="Arial"/>
          <w:color w:val="000000"/>
          <w:sz w:val="22"/>
          <w:szCs w:val="22"/>
        </w:rPr>
      </w:r>
    </w:p>
    <w:p>
      <w:pPr>
        <w:pStyle w:val="LOnormal"/>
        <w:jc w:val="both"/>
        <w:rPr>
          <w:rFonts w:ascii="Arial" w:hAnsi="Arial" w:eastAsia="Arial"/>
          <w:sz w:val="22"/>
          <w:szCs w:val="22"/>
        </w:rPr>
      </w:pPr>
      <w:r>
        <w:rPr>
          <w:rFonts w:eastAsia="Arial" w:ascii="Arial" w:hAnsi="Arial"/>
          <w:b/>
          <w:color w:val="000000"/>
          <w:sz w:val="22"/>
          <w:szCs w:val="22"/>
        </w:rPr>
        <w:t>Contribuição para a sociedade</w:t>
      </w:r>
      <w:r>
        <w:rPr>
          <w:rFonts w:eastAsia="Arial" w:ascii="Arial" w:hAnsi="Arial"/>
          <w:sz w:val="22"/>
          <w:szCs w:val="22"/>
        </w:rPr>
        <w:t>: O país possui uma alta capacidade de produção de volumosos que são essenciais para as vacas em lactação por serem as principais fontes de carboidratos fibrosos na dieta, porém nem todos atendem as necessidades para suprir as demandas nutricionais delas</w:t>
      </w:r>
      <w:r>
        <w:rPr>
          <w:rFonts w:eastAsia="Arial" w:ascii="Arial" w:hAnsi="Arial"/>
          <w:color w:val="000000"/>
          <w:sz w:val="22"/>
          <w:szCs w:val="22"/>
        </w:rPr>
        <w:t xml:space="preserve">. </w:t>
      </w:r>
      <w:r>
        <w:rPr>
          <w:rFonts w:eastAsia="Arial" w:ascii="Arial" w:hAnsi="Arial"/>
          <w:sz w:val="22"/>
          <w:szCs w:val="22"/>
        </w:rPr>
        <w:t>Objetivou-se analisar a frequência de utilização de volumosos em dietas de vacas lactantes em condições experimentais no Brasil. A partir de uma análise descritiva de 670 tratamentos obtivemos a frequência de utilização de até três volumosos na dieta. A maioria dos tratamentos empregam um único volumoso (68,2%) destacando a utilização da silagem de milho, e apenas (31,8%) fazem combinações de dois e três volumosos na dieta, tendo o destaque de alimentos como cana-de-açúcar e palma forrageira. Conclui-se que mesmo o Brasil possuindo uma vasta gama de produção de alimentos volumosos porém, ainda são usadas poucas opções alternativas.</w:t>
      </w:r>
    </w:p>
    <w:p>
      <w:pPr>
        <w:pStyle w:val="LOnormal"/>
        <w:jc w:val="both"/>
        <w:rPr>
          <w:rFonts w:ascii="Arial" w:hAnsi="Arial" w:eastAsia="Arial"/>
          <w:color w:val="FF0000"/>
          <w:sz w:val="22"/>
          <w:szCs w:val="22"/>
        </w:rPr>
      </w:pPr>
      <w:r>
        <w:rPr>
          <w:rFonts w:eastAsia="Arial" w:ascii="Arial" w:hAnsi="Arial"/>
          <w:color w:val="FF0000"/>
          <w:sz w:val="22"/>
          <w:szCs w:val="22"/>
        </w:rPr>
      </w:r>
    </w:p>
    <w:p>
      <w:pPr>
        <w:pStyle w:val="LOnormal"/>
        <w:jc w:val="both"/>
        <w:rPr>
          <w:rFonts w:ascii="Arial" w:hAnsi="Arial" w:eastAsia="Arial"/>
          <w:sz w:val="22"/>
          <w:szCs w:val="22"/>
        </w:rPr>
      </w:pPr>
      <w:r>
        <w:rPr>
          <w:rFonts w:eastAsia="Arial" w:ascii="Arial" w:hAnsi="Arial"/>
          <w:b/>
          <w:color w:val="000000"/>
          <w:sz w:val="22"/>
          <w:szCs w:val="22"/>
        </w:rPr>
        <w:t>Palavras-chave</w:t>
      </w:r>
      <w:r>
        <w:rPr>
          <w:rFonts w:eastAsia="Arial" w:ascii="Arial" w:hAnsi="Arial"/>
          <w:color w:val="000000"/>
          <w:sz w:val="22"/>
          <w:szCs w:val="22"/>
        </w:rPr>
        <w:t xml:space="preserve">: </w:t>
      </w:r>
      <w:r>
        <w:rPr>
          <w:rFonts w:eastAsia="Arial" w:ascii="Arial" w:hAnsi="Arial"/>
          <w:sz w:val="22"/>
          <w:szCs w:val="22"/>
        </w:rPr>
        <w:t>Carboidratos fibrosos, bovinocultura de leite, silagem de milho, alimentação alternativa.</w:t>
      </w:r>
    </w:p>
    <w:p>
      <w:pPr>
        <w:pStyle w:val="LOnormal"/>
        <w:jc w:val="both"/>
        <w:rPr>
          <w:rFonts w:ascii="Arial" w:hAnsi="Arial" w:eastAsia="Arial"/>
          <w:sz w:val="22"/>
          <w:szCs w:val="22"/>
        </w:rPr>
      </w:pPr>
      <w:r>
        <w:rPr>
          <w:rFonts w:eastAsia="Arial" w:ascii="Arial" w:hAnsi="Arial"/>
          <w:sz w:val="22"/>
          <w:szCs w:val="22"/>
        </w:rPr>
      </w:r>
    </w:p>
    <w:p>
      <w:pPr>
        <w:pStyle w:val="LOnormal"/>
        <w:jc w:val="both"/>
        <w:rPr>
          <w:rFonts w:ascii="Arial" w:hAnsi="Arial" w:eastAsia="Arial"/>
          <w:sz w:val="22"/>
          <w:szCs w:val="22"/>
        </w:rPr>
      </w:pPr>
      <w:r>
        <w:rPr>
          <w:rFonts w:eastAsia="Arial" w:ascii="Arial" w:hAnsi="Arial"/>
          <w:b/>
          <w:color w:val="000000"/>
          <w:sz w:val="22"/>
          <w:szCs w:val="22"/>
        </w:rPr>
        <w:t xml:space="preserve">Introdução: </w:t>
      </w:r>
      <w:r>
        <w:rPr>
          <w:rFonts w:eastAsia="Arial" w:ascii="Arial" w:hAnsi="Arial"/>
          <w:sz w:val="22"/>
          <w:szCs w:val="22"/>
        </w:rPr>
        <w:t>A alimentação representa cerca de 70% dos custos de produção de leite e está intimamente ligada à ingestão de volumosos e concentrados de alta qualidade. Os ruminantes são capazes de utilizar alimentos como pastagens, silagem de milho e subprodutos da fabricação de alimentos humanos, podendo usar os carboidratos fibrosos destes alimentos de forma eficiente.</w:t>
      </w:r>
    </w:p>
    <w:p>
      <w:pPr>
        <w:pStyle w:val="LOnormal"/>
        <w:ind w:firstLine="720"/>
        <w:jc w:val="both"/>
        <w:rPr>
          <w:rFonts w:ascii="Arial" w:hAnsi="Arial" w:eastAsia="Arial"/>
          <w:sz w:val="22"/>
          <w:szCs w:val="22"/>
        </w:rPr>
      </w:pPr>
      <w:r>
        <w:rPr>
          <w:rFonts w:eastAsia="Arial" w:ascii="Arial" w:hAnsi="Arial"/>
          <w:sz w:val="22"/>
          <w:szCs w:val="22"/>
        </w:rPr>
        <w:t>Os volumosos são degradados pela microbiota ruminal e como resultado da fermentação obtém-se proteína microbiana e ácidos graxos voláteis. De acordo com Van Soest (1994) os volumosos são essenciais para as vacas em lactação pois são as principais fontes de carboidratos fibrosos e a qualidade destes alimentos é influenciada particularmente pela natureza e concentração dos carboidratos estruturais da parede celular. Portanto, é imprescindível qualidade, quantidade e proporção de forragem volumosa e concentrada para manutenção da saúde ruminal e o desempenho produtivo de certos parâmetros funcionais e fisiológicos de vacas em lactação (TYLUTKI et al. 2008)</w:t>
      </w:r>
    </w:p>
    <w:p>
      <w:pPr>
        <w:pStyle w:val="LOnormal"/>
        <w:ind w:firstLine="720"/>
        <w:jc w:val="both"/>
        <w:rPr>
          <w:rFonts w:ascii="Arial" w:hAnsi="Arial" w:eastAsia="Arial"/>
          <w:color w:val="000000"/>
          <w:sz w:val="22"/>
          <w:szCs w:val="22"/>
        </w:rPr>
      </w:pPr>
      <w:r>
        <w:rPr>
          <w:rFonts w:eastAsia="Arial" w:ascii="Arial" w:hAnsi="Arial"/>
          <w:color w:val="000000"/>
          <w:sz w:val="22"/>
          <w:szCs w:val="22"/>
        </w:rPr>
        <w:t xml:space="preserve">Tendo em vista que o Brasil possui alta diversidade de plantas e animais, estudos científicos vêm sendo conduzidos para explorar o uso de ingredientes alternativos em diferentes regiões do país como por exemplo: cana-de-açúcar e palma forrageira ao invés de volumosos tradicionais como silagem de milho, silagem de sorgo e feno de gramíneas. Portanto, </w:t>
      </w:r>
      <w:r>
        <w:rPr>
          <w:rFonts w:eastAsia="Arial" w:ascii="Arial" w:hAnsi="Arial"/>
          <w:sz w:val="22"/>
          <w:szCs w:val="22"/>
        </w:rPr>
        <w:t>objetivamos analisar</w:t>
      </w:r>
      <w:r>
        <w:rPr>
          <w:rFonts w:eastAsia="Arial" w:ascii="Arial" w:hAnsi="Arial"/>
          <w:color w:val="000000"/>
          <w:sz w:val="22"/>
          <w:szCs w:val="22"/>
        </w:rPr>
        <w:t xml:space="preserve"> a frequência da utilização de volumosos em dietas de vacas leiteiras em condições experimentais no Brasil.</w:t>
      </w:r>
    </w:p>
    <w:p>
      <w:pPr>
        <w:pStyle w:val="LOnormal"/>
        <w:ind w:firstLine="720"/>
        <w:jc w:val="both"/>
        <w:rPr>
          <w:rFonts w:ascii="Arial" w:hAnsi="Arial" w:eastAsia="Arial"/>
          <w:color w:val="000000"/>
          <w:sz w:val="22"/>
          <w:szCs w:val="22"/>
        </w:rPr>
      </w:pPr>
      <w:r>
        <w:rPr>
          <w:rFonts w:eastAsia="Arial" w:ascii="Arial" w:hAnsi="Arial"/>
          <w:color w:val="000000"/>
          <w:sz w:val="22"/>
          <w:szCs w:val="22"/>
        </w:rPr>
      </w:r>
    </w:p>
    <w:p>
      <w:pPr>
        <w:pStyle w:val="LOnormal"/>
        <w:jc w:val="both"/>
        <w:rPr>
          <w:rFonts w:ascii="Arial" w:hAnsi="Arial" w:eastAsia="Arial"/>
          <w:sz w:val="22"/>
          <w:szCs w:val="22"/>
        </w:rPr>
      </w:pPr>
      <w:bookmarkStart w:id="1" w:name="_30j0zll"/>
      <w:bookmarkEnd w:id="1"/>
      <w:r>
        <w:rPr>
          <w:rFonts w:eastAsia="Arial" w:ascii="Arial" w:hAnsi="Arial"/>
          <w:b/>
          <w:color w:val="000000"/>
          <w:sz w:val="22"/>
          <w:szCs w:val="22"/>
        </w:rPr>
        <w:t>Material e métodos:</w:t>
      </w:r>
      <w:r>
        <w:rPr>
          <w:rFonts w:eastAsia="Arial" w:ascii="Arial" w:hAnsi="Arial"/>
          <w:color w:val="000000"/>
          <w:sz w:val="22"/>
          <w:szCs w:val="22"/>
        </w:rPr>
        <w:t xml:space="preserve"> </w:t>
      </w:r>
      <w:r>
        <w:rPr>
          <w:rFonts w:eastAsia="Arial" w:ascii="Arial" w:hAnsi="Arial"/>
          <w:sz w:val="22"/>
          <w:szCs w:val="22"/>
        </w:rPr>
        <w:t xml:space="preserve">Para a realização deste estudo foi feita uma análise descritiva da base de dados da tese de doutorado de Dileta Regina Moro Alessio a qual consistiu em uma revisão sistemática de trabalhos científicos, de domínio público, relacionados ao número e a proporção de volumosos e dos ingredientes do concentrado, composição da dieta, consumo voluntário, </w:t>
      </w:r>
      <w:r>
        <w:drawing>
          <wp:anchor behindDoc="1" distT="0" distB="0" distL="0" distR="0" simplePos="0" locked="0" layoutInCell="0" allowOverlap="1" relativeHeight="4">
            <wp:simplePos x="0" y="0"/>
            <wp:positionH relativeFrom="page">
              <wp:align>right</wp:align>
            </wp:positionH>
            <wp:positionV relativeFrom="page">
              <wp:posOffset>-171450</wp:posOffset>
            </wp:positionV>
            <wp:extent cx="7556500" cy="1115060"/>
            <wp:effectExtent l="0" t="0" r="0" b="0"/>
            <wp:wrapNone/>
            <wp:docPr id="2" name="Figura1"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Cabeçalho SBSS-02.jpg"/>
                    <pic:cNvPicPr>
                      <a:picLocks noChangeAspect="1" noChangeArrowheads="1"/>
                    </pic:cNvPicPr>
                  </pic:nvPicPr>
                  <pic:blipFill>
                    <a:blip r:embed="rId3"/>
                    <a:stretch>
                      <a:fillRect/>
                    </a:stretch>
                  </pic:blipFill>
                  <pic:spPr bwMode="auto">
                    <a:xfrm>
                      <a:off x="0" y="0"/>
                      <a:ext cx="7556500" cy="1115060"/>
                    </a:xfrm>
                    <a:prstGeom prst="rect">
                      <a:avLst/>
                    </a:prstGeom>
                  </pic:spPr>
                </pic:pic>
              </a:graphicData>
            </a:graphic>
          </wp:anchor>
        </w:drawing>
      </w:r>
      <w:r>
        <w:rPr>
          <w:rFonts w:eastAsia="Arial" w:ascii="Arial" w:hAnsi="Arial"/>
          <w:sz w:val="22"/>
          <w:szCs w:val="22"/>
        </w:rPr>
        <w:t xml:space="preserve">digestibilidade aparente dos nutrientes, produção e composição do leite das vacas leiteiras em condições experimentais no Brasil publicados nos sites </w:t>
      </w:r>
      <w:r>
        <w:rPr>
          <w:rFonts w:eastAsia="Arial" w:ascii="Arial" w:hAnsi="Arial"/>
          <w:i/>
          <w:sz w:val="22"/>
          <w:szCs w:val="22"/>
        </w:rPr>
        <w:t>Scientific</w:t>
      </w:r>
      <w:r>
        <w:rPr>
          <w:rFonts w:eastAsia="Arial" w:ascii="Arial" w:hAnsi="Arial"/>
          <w:b/>
          <w:i/>
          <w:sz w:val="22"/>
          <w:szCs w:val="22"/>
        </w:rPr>
        <w:t xml:space="preserve"> </w:t>
      </w:r>
      <w:r>
        <w:rPr>
          <w:rFonts w:eastAsia="Arial" w:ascii="Arial" w:hAnsi="Arial"/>
          <w:i/>
          <w:sz w:val="22"/>
          <w:szCs w:val="22"/>
        </w:rPr>
        <w:t xml:space="preserve">Electronic Library Online </w:t>
      </w:r>
      <w:r>
        <w:rPr>
          <w:rFonts w:eastAsia="Arial" w:ascii="Arial" w:hAnsi="Arial"/>
          <w:sz w:val="22"/>
          <w:szCs w:val="22"/>
        </w:rPr>
        <w:t>(SciELO), Instituto Brasileiro de Informação em Ciência e Tecnologia (IBICT), Google Acadêmico e nas principais revistas da área. O banco de dados foi formado por trabalhos desenvolvidos e publicados entre janeiro de 2000 e dezembro de 2015.  Foram contabilizados ao total 169 experimentos, 670 tratamentos e envolvendo 5.457 vacas em lactação.</w:t>
      </w:r>
    </w:p>
    <w:p>
      <w:pPr>
        <w:pStyle w:val="LOnormal"/>
        <w:jc w:val="both"/>
        <w:rPr/>
      </w:pPr>
      <w:r>
        <w:rPr/>
      </w:r>
      <w:bookmarkStart w:id="2" w:name="_1fob9te"/>
      <w:bookmarkStart w:id="3" w:name="_1fob9te"/>
      <w:bookmarkEnd w:id="3"/>
    </w:p>
    <w:p>
      <w:pPr>
        <w:pStyle w:val="LOnormal"/>
        <w:jc w:val="both"/>
        <w:rPr>
          <w:rFonts w:ascii="Arial" w:hAnsi="Arial" w:eastAsia="Arial"/>
          <w:sz w:val="22"/>
          <w:szCs w:val="22"/>
        </w:rPr>
      </w:pPr>
      <w:r>
        <w:rPr>
          <w:rFonts w:eastAsia="Arial" w:ascii="Arial" w:hAnsi="Arial"/>
          <w:b/>
          <w:color w:val="000000"/>
          <w:sz w:val="22"/>
          <w:szCs w:val="22"/>
        </w:rPr>
        <w:t>Resultados e discussões:</w:t>
      </w:r>
      <w:r>
        <w:rPr>
          <w:rFonts w:eastAsia="Arial" w:ascii="Arial" w:hAnsi="Arial"/>
          <w:color w:val="000000"/>
          <w:sz w:val="22"/>
          <w:szCs w:val="22"/>
        </w:rPr>
        <w:t xml:space="preserve"> Foi verificado que 401 dietas utilizaram </w:t>
      </w:r>
      <w:r>
        <w:rPr>
          <w:rFonts w:eastAsia="Arial" w:ascii="Arial" w:hAnsi="Arial"/>
          <w:sz w:val="22"/>
          <w:szCs w:val="22"/>
        </w:rPr>
        <w:t>apenas um volumoso para vacas em lactação em condições experimentais no Brasil, destas 242 dietas utilizaram silagem de milho, 101 cana-de-açúcar e 17 silagem de sorgo. Verificou-se que dos 401 tratamentos observados a silagem de milho, a cana-de-açúcar e a silagem de sorgo foram as que obtiveram maior frequência (Tabela 1). 68,2% do total de tratamentos observados, utilizam apenas um único volumoso na dieta, os outros 31,8% correspondem a dietas com dois e três volumosos em sua composição, os quais se destacam também a utilização combinada de cana-de-açúcar, silagem de milho, silagem de sorgo e a palma forrageira.</w:t>
      </w:r>
    </w:p>
    <w:p>
      <w:pPr>
        <w:pStyle w:val="LOnormal"/>
        <w:widowControl w:val="false"/>
        <w:ind w:right="290" w:firstLine="720"/>
        <w:jc w:val="both"/>
        <w:rPr>
          <w:rFonts w:ascii="Arial" w:hAnsi="Arial" w:eastAsia="Arial"/>
          <w:sz w:val="22"/>
          <w:szCs w:val="22"/>
        </w:rPr>
      </w:pPr>
      <w:r>
        <w:rPr>
          <w:rFonts w:eastAsia="Arial" w:ascii="Arial" w:hAnsi="Arial"/>
          <w:sz w:val="22"/>
          <w:szCs w:val="22"/>
        </w:rPr>
      </w:r>
    </w:p>
    <w:p>
      <w:pPr>
        <w:pStyle w:val="LOnormal"/>
        <w:widowControl w:val="false"/>
        <w:ind w:right="290" w:hanging="0"/>
        <w:jc w:val="both"/>
        <w:rPr>
          <w:rFonts w:ascii="Arial" w:hAnsi="Arial" w:eastAsia="Arial"/>
          <w:b/>
          <w:b/>
          <w:color w:val="000000"/>
          <w:sz w:val="20"/>
          <w:szCs w:val="20"/>
        </w:rPr>
      </w:pPr>
      <w:r>
        <w:rPr>
          <w:rFonts w:eastAsia="Arial" w:ascii="Arial" w:hAnsi="Arial"/>
          <w:b/>
          <w:color w:val="000000"/>
          <w:sz w:val="20"/>
          <w:szCs w:val="20"/>
        </w:rPr>
        <w:t xml:space="preserve">Tabela 1. </w:t>
      </w:r>
      <w:r>
        <w:rPr>
          <w:rFonts w:eastAsia="Arial" w:ascii="Arial" w:hAnsi="Arial"/>
          <w:b/>
          <w:sz w:val="20"/>
          <w:szCs w:val="20"/>
        </w:rPr>
        <w:t xml:space="preserve">Frequência absoluta e relativa do número de tratamentos que apresentam dietas com apenas um volumoso utilizado na alimentação de vacas leiteiras em condições experimentais no Brasil. </w:t>
      </w:r>
    </w:p>
    <w:p>
      <w:pPr>
        <w:pStyle w:val="LOnormal"/>
        <w:widowControl w:val="false"/>
        <w:ind w:left="178" w:right="290" w:hanging="0"/>
        <w:jc w:val="both"/>
        <w:rPr>
          <w:i/>
          <w:i/>
        </w:rPr>
      </w:pPr>
      <w:r>
        <w:rPr>
          <w:i/>
        </w:rPr>
      </w:r>
    </w:p>
    <w:tbl>
      <w:tblPr>
        <w:tblStyle w:val="TableNormal"/>
        <w:tblpPr w:bottomFromText="180" w:horzAnchor="text" w:leftFromText="180" w:rightFromText="180" w:tblpX="0" w:tblpY="0" w:topFromText="180" w:vertAnchor="text"/>
        <w:tblW w:w="9072" w:type="dxa"/>
        <w:jc w:val="left"/>
        <w:tblInd w:w="0" w:type="dxa"/>
        <w:tblLayout w:type="fixed"/>
        <w:tblCellMar>
          <w:top w:w="0" w:type="dxa"/>
          <w:left w:w="115" w:type="dxa"/>
          <w:bottom w:w="0" w:type="dxa"/>
          <w:right w:w="115" w:type="dxa"/>
        </w:tblCellMar>
        <w:tblLook w:firstRow="0" w:noVBand="1" w:lastRow="0" w:firstColumn="0" w:lastColumn="0" w:noHBand="0" w:val="0400"/>
      </w:tblPr>
      <w:tblGrid>
        <w:gridCol w:w="4528"/>
        <w:gridCol w:w="1709"/>
        <w:gridCol w:w="2835"/>
      </w:tblGrid>
      <w:tr>
        <w:trPr>
          <w:trHeight w:val="655" w:hRule="atLeast"/>
        </w:trPr>
        <w:tc>
          <w:tcPr>
            <w:tcW w:w="4528" w:type="dxa"/>
            <w:tcBorders>
              <w:top w:val="single" w:sz="12" w:space="0" w:color="000000"/>
              <w:bottom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Volumosos </w:t>
            </w:r>
          </w:p>
        </w:tc>
        <w:tc>
          <w:tcPr>
            <w:tcW w:w="1709" w:type="dxa"/>
            <w:tcBorders>
              <w:top w:val="single" w:sz="12" w:space="0" w:color="000000"/>
              <w:bottom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Número de tratamentos</w:t>
            </w:r>
          </w:p>
        </w:tc>
        <w:tc>
          <w:tcPr>
            <w:tcW w:w="2835" w:type="dxa"/>
            <w:tcBorders>
              <w:top w:val="single" w:sz="12" w:space="0" w:color="000000"/>
              <w:bottom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Proporções médias (%)</w:t>
            </w:r>
          </w:p>
        </w:tc>
      </w:tr>
      <w:tr>
        <w:trPr/>
        <w:tc>
          <w:tcPr>
            <w:tcW w:w="4528" w:type="dxa"/>
            <w:tcBorders>
              <w:top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Silagem de milho </w:t>
            </w:r>
          </w:p>
        </w:tc>
        <w:tc>
          <w:tcPr>
            <w:tcW w:w="1709" w:type="dxa"/>
            <w:tcBorders>
              <w:top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242</w:t>
            </w:r>
          </w:p>
        </w:tc>
        <w:tc>
          <w:tcPr>
            <w:tcW w:w="2835" w:type="dxa"/>
            <w:tcBorders>
              <w:top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54,13</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Cana-de-açúcar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101</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56,11</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Silagem de sorgo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17</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58,31</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Silagem de cana-de-açúcar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13</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53,38</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Capim elefante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11</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55,21</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Feno tifton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58,33</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Silagem de capim elefante e sorgo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90,26</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Silagem de capim elefante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4</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50,00</w:t>
            </w:r>
          </w:p>
        </w:tc>
      </w:tr>
      <w:tr>
        <w:trPr/>
        <w:tc>
          <w:tcPr>
            <w:tcW w:w="4528"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Silagem pré-secada de grama estrela </w:t>
            </w:r>
          </w:p>
        </w:tc>
        <w:tc>
          <w:tcPr>
            <w:tcW w:w="1709"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2</w:t>
            </w:r>
          </w:p>
        </w:tc>
        <w:tc>
          <w:tcPr>
            <w:tcW w:w="2835" w:type="dxa"/>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50,00</w:t>
            </w:r>
          </w:p>
        </w:tc>
      </w:tr>
      <w:tr>
        <w:trPr/>
        <w:tc>
          <w:tcPr>
            <w:tcW w:w="4528" w:type="dxa"/>
            <w:tcBorders>
              <w:bottom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 xml:space="preserve">Silagem de girassol </w:t>
            </w:r>
          </w:p>
        </w:tc>
        <w:tc>
          <w:tcPr>
            <w:tcW w:w="1709" w:type="dxa"/>
            <w:tcBorders>
              <w:bottom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1</w:t>
            </w:r>
          </w:p>
        </w:tc>
        <w:tc>
          <w:tcPr>
            <w:tcW w:w="2835" w:type="dxa"/>
            <w:tcBorders>
              <w:bottom w:val="single" w:sz="4"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56,37</w:t>
            </w:r>
          </w:p>
        </w:tc>
      </w:tr>
      <w:tr>
        <w:trPr/>
        <w:tc>
          <w:tcPr>
            <w:tcW w:w="4528" w:type="dxa"/>
            <w:tcBorders>
              <w:top w:val="single" w:sz="4" w:space="0" w:color="000000"/>
              <w:bottom w:val="single" w:sz="12"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Total e percentual de tratamentos avaliados</w:t>
            </w:r>
          </w:p>
        </w:tc>
        <w:tc>
          <w:tcPr>
            <w:tcW w:w="1709" w:type="dxa"/>
            <w:tcBorders>
              <w:top w:val="single" w:sz="4" w:space="0" w:color="000000"/>
              <w:bottom w:val="single" w:sz="12"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2"/>
                <w:szCs w:val="22"/>
                <w:lang w:val="pt-BR" w:eastAsia="zh-CN" w:bidi="hi-IN"/>
              </w:rPr>
              <w:t>401 (68,2)</w:t>
            </w:r>
          </w:p>
        </w:tc>
        <w:tc>
          <w:tcPr>
            <w:tcW w:w="2835" w:type="dxa"/>
            <w:tcBorders>
              <w:top w:val="single" w:sz="4" w:space="0" w:color="000000"/>
              <w:bottom w:val="single" w:sz="12" w:space="0" w:color="000000"/>
            </w:tcBorders>
          </w:tcPr>
          <w:p>
            <w:pPr>
              <w:pStyle w:val="LOnormal"/>
              <w:widowControl w:val="false"/>
              <w:suppressAutoHyphens w:val="true"/>
              <w:spacing w:before="0" w:after="0"/>
              <w:jc w:val="left"/>
              <w:rPr>
                <w:rFonts w:ascii="Arial" w:hAnsi="Arial" w:eastAsia="Arial"/>
                <w:sz w:val="22"/>
                <w:szCs w:val="22"/>
              </w:rPr>
            </w:pPr>
            <w:r>
              <w:rPr>
                <w:rFonts w:eastAsia="Arial" w:cs="Arial" w:ascii="Arial" w:hAnsi="Arial"/>
                <w:kern w:val="0"/>
                <w:sz w:val="24"/>
                <w:szCs w:val="24"/>
                <w:lang w:val="pt-BR" w:eastAsia="zh-CN" w:bidi="hi-IN"/>
              </w:rPr>
            </w:r>
          </w:p>
        </w:tc>
      </w:tr>
    </w:tbl>
    <w:p>
      <w:pPr>
        <w:pStyle w:val="LOnormal"/>
        <w:widowControl w:val="false"/>
        <w:ind w:right="290" w:firstLine="720"/>
        <w:jc w:val="both"/>
        <w:rPr>
          <w:rFonts w:ascii="Arial" w:hAnsi="Arial" w:eastAsia="Arial"/>
          <w:sz w:val="22"/>
          <w:szCs w:val="22"/>
        </w:rPr>
      </w:pPr>
      <w:r>
        <w:rPr>
          <w:rFonts w:eastAsia="Arial" w:ascii="Arial" w:hAnsi="Arial"/>
          <w:sz w:val="22"/>
          <w:szCs w:val="22"/>
        </w:rPr>
        <w:t>A silagem de milho é o volumoso mais utilizado como base na alimentação em experimentos com vacas leiteiras no Brasil e destaca-se em função da sua alta capacidade de produção de matéria seca e bom valor nutritivo, além de ter baixos custos de produção, com uma média de 31,17% de matéria seca e 24,95% de amido (CQBAL 4.0). Com o manejo incorreto da planta e do processo de ensilagem estas condições bromatológicas não podem ser atingidas, portanto é importante salientar o conhecimento sobre a planta, o correto manejo da mesma, para não afetar seu potencial produtivo/nutricional e degradabilidade das porções fibrosas. Além da silagem de milho a cana-de-açúcar também aparece em grande quantidade nas dietas (Tabela 1), este alimento vem se destacando em regiões com estresse hídrico. Apresenta um baixo custo de produção, alta produção de matéria seca por hectare, resistência a pragas e doenças e pode ser uma alternativa durante as secas, quando normalmente há escassez de forragens. O seu grande problema é a baixa percentagem de proteína bruta (2,80%) e baixa degradação da porção fib</w:t>
      </w:r>
      <w:r>
        <w:rPr>
          <w:rFonts w:eastAsia="Arial" w:ascii="Arial" w:hAnsi="Arial"/>
          <w:sz w:val="22"/>
          <w:szCs w:val="22"/>
          <w:shd w:fill="FFFFFF" w:val="clear"/>
        </w:rPr>
        <w:t>rosa</w:t>
      </w:r>
      <w:r>
        <w:rPr>
          <w:rFonts w:eastAsia="Arial" w:ascii="Arial" w:hAnsi="Arial"/>
          <w:sz w:val="22"/>
          <w:szCs w:val="22"/>
          <w:shd w:fill="FFFFFF" w:val="clear"/>
        </w:rPr>
        <w:t xml:space="preserve"> </w:t>
      </w:r>
      <w:r>
        <w:rPr>
          <w:rFonts w:ascii="Arial" w:hAnsi="Arial"/>
          <w:sz w:val="22"/>
          <w:szCs w:val="22"/>
          <w:shd w:fill="FFFFFF" w:val="clear"/>
        </w:rPr>
        <w:t>(C</w:t>
      </w:r>
      <w:r>
        <w:rPr>
          <w:rFonts w:ascii="Arial" w:hAnsi="Arial"/>
          <w:sz w:val="22"/>
          <w:szCs w:val="22"/>
        </w:rPr>
        <w:t>ASTRO et al. 2009; TEIXEIRA JÚNIOR et al. 2016; VALADARES FILHO et al. 2017).</w:t>
      </w:r>
    </w:p>
    <w:p>
      <w:pPr>
        <w:pStyle w:val="LOnormal"/>
        <w:widowControl w:val="false"/>
        <w:ind w:right="290" w:firstLine="720"/>
        <w:jc w:val="both"/>
        <w:rPr>
          <w:rFonts w:ascii="Arial" w:hAnsi="Arial" w:eastAsia="Arial"/>
          <w:sz w:val="22"/>
          <w:szCs w:val="22"/>
        </w:rPr>
      </w:pPr>
      <w:r>
        <w:rPr>
          <w:rFonts w:eastAsia="Arial" w:ascii="Arial" w:hAnsi="Arial"/>
          <w:sz w:val="22"/>
          <w:szCs w:val="22"/>
        </w:rPr>
        <w:t xml:space="preserve"> </w:t>
      </w:r>
      <w:r>
        <w:rPr>
          <w:rFonts w:eastAsia="Arial" w:ascii="Arial" w:hAnsi="Arial"/>
          <w:sz w:val="22"/>
          <w:szCs w:val="22"/>
        </w:rPr>
        <w:t xml:space="preserve">Os outros alimentos encontrados podem ser considerados alimentos alternativos, porém, não são bem estudados como a silagem de milho e a cana-de-açúcar portanto, uma vez que a composição dos nutrientes e os ingredientes das dietas afetam a digestibilidade, composição e rendimento dos dejetos bem como a composição do leite </w:t>
      </w:r>
    </w:p>
    <w:p>
      <w:pPr>
        <w:pStyle w:val="LOnormal"/>
        <w:widowControl w:val="false"/>
        <w:ind w:right="290" w:hanging="0"/>
        <w:jc w:val="both"/>
        <w:rPr>
          <w:rFonts w:ascii="Arial" w:hAnsi="Arial" w:eastAsia="Arial"/>
          <w:sz w:val="22"/>
          <w:szCs w:val="22"/>
        </w:rPr>
      </w:pPr>
      <w:r>
        <w:rPr>
          <w:rFonts w:eastAsia="Arial" w:ascii="Arial" w:hAnsi="Arial"/>
          <w:sz w:val="22"/>
          <w:szCs w:val="22"/>
        </w:rPr>
        <w:drawing>
          <wp:anchor behindDoc="1" distT="0" distB="0" distL="0" distR="0" simplePos="0" locked="0" layoutInCell="0" allowOverlap="1" relativeHeight="3">
            <wp:simplePos x="0" y="0"/>
            <wp:positionH relativeFrom="page">
              <wp:align>right</wp:align>
            </wp:positionH>
            <wp:positionV relativeFrom="page">
              <wp:posOffset>-144780</wp:posOffset>
            </wp:positionV>
            <wp:extent cx="7556500" cy="1115060"/>
            <wp:effectExtent l="0" t="0" r="0" b="0"/>
            <wp:wrapNone/>
            <wp:docPr id="3" name="Figura2"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Cabeçalho SBSS-02.jpg"/>
                    <pic:cNvPicPr>
                      <a:picLocks noChangeAspect="1" noChangeArrowheads="1"/>
                    </pic:cNvPicPr>
                  </pic:nvPicPr>
                  <pic:blipFill>
                    <a:blip r:embed="rId4"/>
                    <a:stretch>
                      <a:fillRect/>
                    </a:stretch>
                  </pic:blipFill>
                  <pic:spPr bwMode="auto">
                    <a:xfrm>
                      <a:off x="0" y="0"/>
                      <a:ext cx="7556500" cy="1115060"/>
                    </a:xfrm>
                    <a:prstGeom prst="rect">
                      <a:avLst/>
                    </a:prstGeom>
                  </pic:spPr>
                </pic:pic>
              </a:graphicData>
            </a:graphic>
          </wp:anchor>
        </w:drawing>
        <w:t xml:space="preserve">(NRC, 2001) é necessário, diante da diversidade de volumosos e subprodutos produzidos no Brasil, aprofundar os estudos dos tipos de volumosos e </w:t>
      </w:r>
      <w:r>
        <w:drawing>
          <wp:anchor behindDoc="1" distT="0" distB="0" distL="0" distR="0" simplePos="0" locked="0" layoutInCell="0" allowOverlap="1" relativeHeight="2">
            <wp:simplePos x="0" y="0"/>
            <wp:positionH relativeFrom="page">
              <wp:align>left</wp:align>
            </wp:positionH>
            <wp:positionV relativeFrom="page">
              <wp:posOffset>-138430</wp:posOffset>
            </wp:positionV>
            <wp:extent cx="7556500" cy="1115060"/>
            <wp:effectExtent l="0" t="0" r="0" b="0"/>
            <wp:wrapNone/>
            <wp:docPr id="4" name="Figura3"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Cabeçalho SBSS-02.jpg"/>
                    <pic:cNvPicPr>
                      <a:picLocks noChangeAspect="1" noChangeArrowheads="1"/>
                    </pic:cNvPicPr>
                  </pic:nvPicPr>
                  <pic:blipFill>
                    <a:blip r:embed="rId5"/>
                    <a:stretch>
                      <a:fillRect/>
                    </a:stretch>
                  </pic:blipFill>
                  <pic:spPr bwMode="auto">
                    <a:xfrm>
                      <a:off x="0" y="0"/>
                      <a:ext cx="7556500" cy="1115060"/>
                    </a:xfrm>
                    <a:prstGeom prst="rect">
                      <a:avLst/>
                    </a:prstGeom>
                  </pic:spPr>
                </pic:pic>
              </a:graphicData>
            </a:graphic>
          </wp:anchor>
        </w:drawing>
      </w:r>
      <w:r>
        <w:rPr>
          <w:rFonts w:eastAsia="Arial" w:ascii="Arial" w:hAnsi="Arial"/>
          <w:sz w:val="22"/>
          <w:szCs w:val="22"/>
        </w:rPr>
        <w:t>composição dos carboidratos fibrosos, enfatizando suas fibras fisicamente efetivas, para diversificar as dietas de vacas em lactação e atender às suas exigências</w:t>
      </w:r>
      <w:r>
        <w:rPr>
          <w:rFonts w:eastAsia="Arial" w:ascii="Arial" w:hAnsi="Arial"/>
          <w:sz w:val="20"/>
          <w:szCs w:val="20"/>
        </w:rPr>
        <w:t>.</w:t>
      </w:r>
    </w:p>
    <w:p>
      <w:pPr>
        <w:pStyle w:val="LOnormal"/>
        <w:widowControl w:val="false"/>
        <w:ind w:right="290" w:hanging="0"/>
        <w:jc w:val="both"/>
        <w:rPr>
          <w:rFonts w:ascii="Arial" w:hAnsi="Arial" w:eastAsia="Arial"/>
          <w:color w:val="000000"/>
          <w:sz w:val="22"/>
          <w:szCs w:val="22"/>
        </w:rPr>
      </w:pPr>
      <w:r>
        <w:rPr>
          <w:rFonts w:eastAsia="Arial" w:ascii="Arial" w:hAnsi="Arial"/>
          <w:color w:val="000000"/>
          <w:sz w:val="22"/>
          <w:szCs w:val="22"/>
        </w:rPr>
      </w:r>
    </w:p>
    <w:p>
      <w:pPr>
        <w:pStyle w:val="LOnormal"/>
        <w:jc w:val="both"/>
        <w:rPr>
          <w:rFonts w:ascii="Arial" w:hAnsi="Arial" w:eastAsia="Arial"/>
          <w:sz w:val="22"/>
          <w:szCs w:val="22"/>
        </w:rPr>
      </w:pPr>
      <w:r>
        <w:rPr>
          <w:rFonts w:eastAsia="Arial" w:ascii="Arial" w:hAnsi="Arial"/>
          <w:b/>
          <w:color w:val="000000"/>
          <w:sz w:val="22"/>
          <w:szCs w:val="22"/>
        </w:rPr>
        <w:t>Conclusão</w:t>
      </w:r>
      <w:r>
        <w:rPr>
          <w:rFonts w:eastAsia="Arial" w:ascii="Arial" w:hAnsi="Arial"/>
          <w:color w:val="000000"/>
          <w:sz w:val="22"/>
          <w:szCs w:val="22"/>
        </w:rPr>
        <w:t xml:space="preserve">: </w:t>
      </w:r>
      <w:r>
        <w:rPr>
          <w:rFonts w:eastAsia="Arial" w:ascii="Arial" w:hAnsi="Arial"/>
          <w:sz w:val="22"/>
          <w:szCs w:val="22"/>
        </w:rPr>
        <w:t xml:space="preserve">Os volumosos utilizados, diante a diversidade de alimentos existentes no Brasil, podem ser mais explorados e adaptados para compor a alimentação de vacas em lactação. </w:t>
      </w:r>
    </w:p>
    <w:p>
      <w:pPr>
        <w:pStyle w:val="LOnormal"/>
        <w:jc w:val="both"/>
        <w:rPr>
          <w:rFonts w:ascii="Arial" w:hAnsi="Arial" w:eastAsia="Arial"/>
          <w:sz w:val="22"/>
          <w:szCs w:val="22"/>
        </w:rPr>
      </w:pPr>
      <w:r>
        <w:rPr>
          <w:rFonts w:eastAsia="Arial" w:ascii="Arial" w:hAnsi="Arial"/>
          <w:sz w:val="22"/>
          <w:szCs w:val="22"/>
        </w:rPr>
      </w:r>
    </w:p>
    <w:p>
      <w:pPr>
        <w:pStyle w:val="LOnormal"/>
        <w:jc w:val="both"/>
        <w:rPr>
          <w:rFonts w:ascii="Arial" w:hAnsi="Arial" w:eastAsia="Arial"/>
          <w:b/>
          <w:b/>
          <w:color w:val="000000"/>
          <w:sz w:val="22"/>
          <w:szCs w:val="22"/>
          <w:highlight w:val="yellow"/>
        </w:rPr>
      </w:pPr>
      <w:r>
        <w:rPr>
          <w:rFonts w:eastAsia="Arial" w:ascii="Arial" w:hAnsi="Arial"/>
          <w:b/>
          <w:color w:val="000000"/>
          <w:sz w:val="22"/>
          <w:szCs w:val="22"/>
        </w:rPr>
        <w:t>Agradecimento: FIPE-UFSM</w:t>
      </w:r>
    </w:p>
    <w:p>
      <w:pPr>
        <w:pStyle w:val="LOnormal"/>
        <w:jc w:val="both"/>
        <w:rPr>
          <w:rFonts w:ascii="Arial" w:hAnsi="Arial" w:eastAsia="Arial"/>
          <w:b/>
          <w:b/>
          <w:sz w:val="22"/>
          <w:szCs w:val="22"/>
        </w:rPr>
      </w:pPr>
      <w:r>
        <w:rPr>
          <w:rFonts w:eastAsia="Arial" w:ascii="Arial" w:hAnsi="Arial"/>
          <w:b/>
          <w:sz w:val="22"/>
          <w:szCs w:val="22"/>
        </w:rPr>
      </w:r>
    </w:p>
    <w:p>
      <w:pPr>
        <w:pStyle w:val="LOnormal"/>
        <w:jc w:val="both"/>
        <w:rPr>
          <w:rFonts w:ascii="Arial" w:hAnsi="Arial" w:eastAsia="Arial"/>
          <w:b/>
          <w:b/>
          <w:sz w:val="22"/>
          <w:szCs w:val="22"/>
        </w:rPr>
      </w:pPr>
      <w:r>
        <w:rPr>
          <w:rFonts w:eastAsia="Arial" w:ascii="Arial" w:hAnsi="Arial"/>
          <w:b/>
          <w:color w:val="000000"/>
          <w:sz w:val="22"/>
          <w:szCs w:val="22"/>
        </w:rPr>
        <w:t xml:space="preserve">Referências: </w:t>
      </w:r>
    </w:p>
    <w:p>
      <w:pPr>
        <w:pStyle w:val="LOnormal"/>
        <w:jc w:val="both"/>
        <w:rPr>
          <w:rFonts w:ascii="Arial" w:hAnsi="Arial" w:eastAsia="Arial"/>
          <w:sz w:val="22"/>
          <w:szCs w:val="22"/>
        </w:rPr>
      </w:pPr>
      <w:r>
        <w:rPr>
          <w:rFonts w:eastAsia="Arial" w:ascii="Arial" w:hAnsi="Arial"/>
          <w:sz w:val="22"/>
          <w:szCs w:val="22"/>
        </w:rPr>
        <w:t>ALESSIO, DILETA REGINA MORO; Lages, S. C. Produção e composição do leite em função da alimentação de vacas em condições experimentais no Brasil. 2017. Tese de Doutorado. unpublished PhD thesis, Universidade do Estado de Santa Catarina.</w:t>
      </w:r>
    </w:p>
    <w:p>
      <w:pPr>
        <w:pStyle w:val="LOnormal"/>
        <w:widowControl w:val="false"/>
        <w:ind w:left="598" w:right="303" w:hanging="420"/>
        <w:jc w:val="both"/>
        <w:rPr>
          <w:rFonts w:ascii="Arial" w:hAnsi="Arial" w:eastAsia="Arial"/>
          <w:sz w:val="22"/>
          <w:szCs w:val="22"/>
        </w:rPr>
      </w:pPr>
      <w:r>
        <w:rPr>
          <w:rFonts w:eastAsia="Arial" w:ascii="Arial" w:hAnsi="Arial"/>
          <w:sz w:val="22"/>
          <w:szCs w:val="22"/>
        </w:rPr>
      </w:r>
    </w:p>
    <w:p>
      <w:pPr>
        <w:pStyle w:val="LOnormal"/>
        <w:widowControl w:val="false"/>
        <w:ind w:right="303" w:hanging="0"/>
        <w:jc w:val="both"/>
        <w:rPr/>
      </w:pPr>
      <w:bookmarkStart w:id="4" w:name="_3znysh7"/>
      <w:bookmarkEnd w:id="4"/>
      <w:r>
        <w:rPr>
          <w:rFonts w:eastAsia="Arial" w:ascii="Arial" w:hAnsi="Arial"/>
          <w:sz w:val="22"/>
          <w:szCs w:val="22"/>
          <w:highlight w:val="white"/>
        </w:rPr>
        <w:t xml:space="preserve">CASTRO, H. S. de; ANDRADE, L. A. de B.; BOTREL, E. P.; EVANGELISTA, A. R. </w:t>
      </w:r>
      <w:bookmarkStart w:id="5" w:name="_2et92p0"/>
      <w:bookmarkEnd w:id="5"/>
      <w:r>
        <w:rPr>
          <w:rFonts w:eastAsia="Arial" w:ascii="Arial" w:hAnsi="Arial"/>
          <w:sz w:val="22"/>
          <w:szCs w:val="22"/>
          <w:highlight w:val="white"/>
        </w:rPr>
        <w:t>Rendimentos agrícola e forrageiro de três cultivares de cana-de-açúcar (</w:t>
      </w:r>
      <w:r>
        <w:rPr>
          <w:rFonts w:eastAsia="Arial" w:ascii="Arial" w:hAnsi="Arial"/>
          <w:i/>
          <w:sz w:val="22"/>
          <w:szCs w:val="22"/>
          <w:highlight w:val="white"/>
        </w:rPr>
        <w:t>Saccharum</w:t>
      </w:r>
      <w:r>
        <w:rPr>
          <w:rFonts w:eastAsia="Arial" w:ascii="Arial" w:hAnsi="Arial"/>
          <w:sz w:val="22"/>
          <w:szCs w:val="22"/>
          <w:highlight w:val="white"/>
        </w:rPr>
        <w:t xml:space="preserve"> </w:t>
      </w:r>
      <w:bookmarkStart w:id="6" w:name="_tyjcwt"/>
      <w:bookmarkEnd w:id="6"/>
      <w:r>
        <w:rPr>
          <w:rFonts w:eastAsia="Arial" w:ascii="Arial" w:hAnsi="Arial"/>
          <w:sz w:val="22"/>
          <w:szCs w:val="22"/>
          <w:highlight w:val="white"/>
        </w:rPr>
        <w:t xml:space="preserve">spp.) em diferentes épocas de corte. </w:t>
      </w:r>
      <w:r>
        <w:rPr>
          <w:rFonts w:eastAsia="Arial" w:ascii="Arial" w:hAnsi="Arial"/>
          <w:i/>
          <w:sz w:val="22"/>
          <w:szCs w:val="22"/>
          <w:highlight w:val="white"/>
        </w:rPr>
        <w:t>Ciências e Agrotecnologia</w:t>
      </w:r>
      <w:r>
        <w:rPr>
          <w:rFonts w:eastAsia="Arial" w:ascii="Arial" w:hAnsi="Arial"/>
          <w:sz w:val="22"/>
          <w:szCs w:val="22"/>
          <w:highlight w:val="white"/>
        </w:rPr>
        <w:t xml:space="preserve">, Lavras, v. 33, n. 5, p. </w:t>
      </w:r>
    </w:p>
    <w:p>
      <w:pPr>
        <w:pStyle w:val="LOnormal"/>
        <w:widowControl w:val="false"/>
        <w:ind w:right="303" w:hanging="0"/>
        <w:jc w:val="both"/>
        <w:rPr/>
      </w:pPr>
      <w:bookmarkStart w:id="7" w:name="_3dy6vkm"/>
      <w:bookmarkEnd w:id="7"/>
      <w:r>
        <w:rPr>
          <w:rFonts w:eastAsia="Arial" w:ascii="Arial" w:hAnsi="Arial"/>
          <w:sz w:val="22"/>
          <w:szCs w:val="22"/>
          <w:highlight w:val="white"/>
        </w:rPr>
        <w:t>1336-1341, 2009.</w:t>
      </w:r>
    </w:p>
    <w:p>
      <w:pPr>
        <w:pStyle w:val="LOnormal"/>
        <w:widowControl w:val="false"/>
        <w:ind w:left="598" w:right="303" w:hanging="420"/>
        <w:jc w:val="both"/>
        <w:rPr>
          <w:rFonts w:ascii="Arial" w:hAnsi="Arial" w:eastAsia="Arial"/>
          <w:sz w:val="22"/>
          <w:szCs w:val="22"/>
          <w:highlight w:val="white"/>
        </w:rPr>
      </w:pPr>
      <w:r>
        <w:rPr>
          <w:rFonts w:eastAsia="Arial" w:ascii="Arial" w:hAnsi="Arial"/>
          <w:sz w:val="22"/>
          <w:szCs w:val="22"/>
          <w:highlight w:val="white"/>
        </w:rPr>
      </w:r>
      <w:bookmarkStart w:id="8" w:name="_1t3h5sf"/>
      <w:bookmarkStart w:id="9" w:name="_1t3h5sf"/>
      <w:bookmarkEnd w:id="9"/>
    </w:p>
    <w:p>
      <w:pPr>
        <w:pStyle w:val="LOnormal"/>
        <w:widowControl w:val="false"/>
        <w:ind w:right="303" w:hanging="0"/>
        <w:jc w:val="both"/>
        <w:rPr/>
      </w:pPr>
      <w:bookmarkStart w:id="10" w:name="_4d34og8"/>
      <w:bookmarkEnd w:id="10"/>
      <w:r>
        <w:rPr>
          <w:rFonts w:eastAsia="Arial" w:ascii="Arial" w:hAnsi="Arial"/>
          <w:sz w:val="22"/>
          <w:szCs w:val="22"/>
        </w:rPr>
        <w:t xml:space="preserve">NUTRIENT requirements of dairy cattle. 6. ed. Washington: National Academy Press, </w:t>
      </w:r>
      <w:bookmarkStart w:id="11" w:name="_2s8eyo1"/>
      <w:bookmarkEnd w:id="11"/>
      <w:r>
        <w:rPr>
          <w:rFonts w:eastAsia="Arial" w:ascii="Arial" w:hAnsi="Arial"/>
          <w:sz w:val="22"/>
          <w:szCs w:val="22"/>
        </w:rPr>
        <w:t>2001. 406p.</w:t>
      </w:r>
    </w:p>
    <w:p>
      <w:pPr>
        <w:pStyle w:val="LOnormal"/>
        <w:widowControl w:val="false"/>
        <w:shd w:val="clear" w:color="auto" w:fill="FFFFFF"/>
        <w:spacing w:before="240" w:after="240"/>
        <w:jc w:val="both"/>
        <w:rPr/>
      </w:pPr>
      <w:bookmarkStart w:id="12" w:name="_17dp8vu"/>
      <w:bookmarkEnd w:id="12"/>
      <w:r>
        <w:rPr>
          <w:rFonts w:eastAsia="Arial" w:ascii="Arial" w:hAnsi="Arial"/>
          <w:sz w:val="22"/>
          <w:szCs w:val="22"/>
        </w:rPr>
        <w:t xml:space="preserve">TEIXEIRA JÚNIOR, F. E. P.; RUAS, J. R. M.; LOPES, M. A.; COSTA, M. D. da; PIRES, D. A. de A.; ROCHA JÚNIOR, V. R. Effect of different alternative roughages on the profitability of milk production systems with F1 Holstein x Zebu cows. </w:t>
      </w:r>
      <w:r>
        <w:rPr>
          <w:rFonts w:eastAsia="Arial" w:ascii="Arial" w:hAnsi="Arial"/>
          <w:i/>
          <w:sz w:val="22"/>
          <w:szCs w:val="22"/>
        </w:rPr>
        <w:t>Revista Ceres</w:t>
      </w:r>
      <w:r>
        <w:rPr>
          <w:rFonts w:eastAsia="Arial" w:ascii="Arial" w:hAnsi="Arial"/>
          <w:sz w:val="22"/>
          <w:szCs w:val="22"/>
        </w:rPr>
        <w:t>, Viçosa, v. 63, n. 6, p. 807-815, 2016.</w:t>
      </w:r>
    </w:p>
    <w:p>
      <w:pPr>
        <w:pStyle w:val="LOnormal"/>
        <w:widowControl w:val="false"/>
        <w:shd w:val="clear" w:color="auto" w:fill="FFFFFF"/>
        <w:spacing w:before="240" w:after="240"/>
        <w:jc w:val="both"/>
        <w:rPr/>
      </w:pPr>
      <w:bookmarkStart w:id="13" w:name="_3rdcrjn"/>
      <w:bookmarkEnd w:id="13"/>
      <w:r>
        <w:rPr>
          <w:rFonts w:eastAsia="Arial" w:ascii="Arial" w:hAnsi="Arial"/>
          <w:sz w:val="22"/>
          <w:szCs w:val="22"/>
        </w:rPr>
        <w:t xml:space="preserve">TYLUTKI, T.P.; FOX, D.G.; DURBAL, V.M.; RUSSEL, J.B.; VAN AMBURGH, M.E.; OVERTON, T.T.; CHASE, L.E.; PELL, A.N. Cornell net carbohydrate and protein system: a model for precision feeding of dairy cattle. Anim. Feed Sci. Technol., v.143, p.174-202, 2008. </w:t>
      </w:r>
    </w:p>
    <w:p>
      <w:pPr>
        <w:pStyle w:val="LOnormal"/>
        <w:widowControl w:val="false"/>
        <w:ind w:right="303" w:hanging="0"/>
        <w:jc w:val="both"/>
        <w:rPr/>
      </w:pPr>
      <w:r>
        <w:rPr>
          <w:rFonts w:eastAsia="Arial" w:ascii="Arial" w:hAnsi="Arial"/>
          <w:sz w:val="22"/>
          <w:szCs w:val="22"/>
          <w:highlight w:val="white"/>
        </w:rPr>
        <w:t xml:space="preserve">VALADARES FILHO, S. C.; MACHADO, P. A. S.; CHIZZOTTI, M. L. </w:t>
      </w:r>
      <w:r>
        <w:rPr>
          <w:rFonts w:eastAsia="Arial" w:ascii="Arial" w:hAnsi="Arial"/>
          <w:i/>
          <w:sz w:val="22"/>
          <w:szCs w:val="22"/>
          <w:highlight w:val="white"/>
        </w:rPr>
        <w:t>CQBAL 3.0. Tabelas Brasileiras de Composição de Alimentos para Bovinos</w:t>
      </w:r>
      <w:r>
        <w:rPr>
          <w:rFonts w:eastAsia="Arial" w:ascii="Arial" w:hAnsi="Arial"/>
          <w:sz w:val="22"/>
          <w:szCs w:val="22"/>
          <w:highlight w:val="white"/>
        </w:rPr>
        <w:t>. Disponível em: &lt;</w:t>
      </w:r>
      <w:hyperlink r:id="rId6">
        <w:r>
          <w:rPr>
            <w:rFonts w:eastAsia="Arial" w:ascii="Arial" w:hAnsi="Arial"/>
            <w:sz w:val="22"/>
            <w:szCs w:val="22"/>
            <w:highlight w:val="white"/>
          </w:rPr>
          <w:t>www.ufv.br/cqbal</w:t>
        </w:r>
      </w:hyperlink>
      <w:r>
        <w:rPr>
          <w:rFonts w:eastAsia="Arial" w:ascii="Arial" w:hAnsi="Arial"/>
          <w:sz w:val="22"/>
          <w:szCs w:val="22"/>
          <w:highlight w:val="white"/>
        </w:rPr>
        <w:t>&gt;. Acesso em: 05 set 2017.</w:t>
      </w:r>
    </w:p>
    <w:p>
      <w:pPr>
        <w:pStyle w:val="LOnormal"/>
        <w:widowControl w:val="false"/>
        <w:ind w:left="598" w:right="303" w:hanging="420"/>
        <w:jc w:val="both"/>
        <w:rPr>
          <w:rFonts w:ascii="Arial" w:hAnsi="Arial" w:eastAsia="Arial"/>
          <w:sz w:val="22"/>
          <w:szCs w:val="22"/>
        </w:rPr>
      </w:pPr>
      <w:r>
        <w:rPr>
          <w:rFonts w:eastAsia="Arial" w:ascii="Arial" w:hAnsi="Arial"/>
          <w:sz w:val="22"/>
          <w:szCs w:val="22"/>
        </w:rPr>
      </w:r>
    </w:p>
    <w:p>
      <w:pPr>
        <w:pStyle w:val="LOnormal"/>
        <w:widowControl w:val="false"/>
        <w:ind w:right="303" w:hanging="0"/>
        <w:jc w:val="both"/>
        <w:rPr/>
      </w:pPr>
      <w:r>
        <w:rPr>
          <w:rFonts w:eastAsia="Arial" w:ascii="Arial" w:hAnsi="Arial"/>
          <w:sz w:val="22"/>
          <w:szCs w:val="22"/>
        </w:rPr>
        <w:t>VALADARES FILHO, S.C.; LOPES, S.A.; SILVA, B.C.; CHIZZOTTI, M.L.; BISSARO, L.Z. CQBAL 4.0. Tabelas Brasileiras de Composição de Alimentos para Ruminantes. 2018.</w:t>
      </w:r>
    </w:p>
    <w:p>
      <w:pPr>
        <w:pStyle w:val="Ttulo1"/>
        <w:keepNext w:val="false"/>
        <w:keepLines w:val="false"/>
        <w:widowControl w:val="false"/>
        <w:spacing w:before="0" w:after="0"/>
        <w:jc w:val="both"/>
        <w:rPr>
          <w:rFonts w:ascii="Arial" w:hAnsi="Arial" w:eastAsia="Arial"/>
          <w:b w:val="false"/>
          <w:b w:val="false"/>
          <w:sz w:val="22"/>
          <w:szCs w:val="22"/>
        </w:rPr>
      </w:pPr>
      <w:r>
        <w:rPr>
          <w:rFonts w:eastAsia="Arial" w:ascii="Arial" w:hAnsi="Arial"/>
          <w:b w:val="false"/>
          <w:sz w:val="22"/>
          <w:szCs w:val="22"/>
        </w:rPr>
      </w:r>
    </w:p>
    <w:p>
      <w:pPr>
        <w:pStyle w:val="Ttulo1"/>
        <w:keepNext w:val="false"/>
        <w:keepLines w:val="false"/>
        <w:widowControl w:val="false"/>
        <w:spacing w:before="0" w:after="0"/>
        <w:jc w:val="both"/>
        <w:rPr/>
      </w:pPr>
      <w:r>
        <w:rPr>
          <w:rFonts w:eastAsia="Arial" w:ascii="Arial" w:hAnsi="Arial"/>
          <w:b w:val="false"/>
          <w:sz w:val="22"/>
          <w:szCs w:val="22"/>
        </w:rPr>
        <w:t>VAN SOEST, P.J. Nutricional ecology of the ruminant. Ithaca: Cornell University, 1994. 476 p.</w:t>
      </w:r>
    </w:p>
    <w:p>
      <w:pPr>
        <w:pStyle w:val="LOnormal"/>
        <w:ind w:right="284" w:hanging="0"/>
        <w:jc w:val="both"/>
        <w:rPr/>
      </w:pPr>
      <w:r>
        <w:rPr/>
      </w:r>
    </w:p>
    <w:sectPr>
      <w:headerReference w:type="default" r:id="rId7"/>
      <w:footerReference w:type="default" r:id="rId8"/>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Georgia">
    <w:charset w:val="00"/>
    <w:family w:val="roman"/>
    <w:pitch w:val="variable"/>
  </w:font>
  <w:font w:name="Cambria">
    <w:charset w:val="00"/>
    <w:family w:val="roman"/>
    <w:pitch w:val="variable"/>
  </w:font>
  <w:font w:name="Arial">
    <w:charset w:val="00"/>
    <w:family w:val="roman"/>
    <w:pitch w:val="variable"/>
  </w:font>
  <w:font w:name="Helvetica Neu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tabs>
        <w:tab w:val="clear" w:pos="720"/>
        <w:tab w:val="right" w:pos="9020" w:leader="none"/>
      </w:tabs>
      <w:rPr>
        <w:rFonts w:ascii="Helvetica Neue" w:hAnsi="Helvetica Neue" w:eastAsia="Helvetica Neue" w:cs="Helvetica Neue"/>
        <w:color w:val="000000"/>
      </w:rPr>
    </w:pPr>
    <w:r>
      <w:rPr>
        <w:rFonts w:eastAsia="Helvetica Neue" w:cs="Helvetica Neue" w:ascii="Helvetica Neue" w:hAnsi="Helvetica Neue"/>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rPr>
        <w:rFonts w:ascii="Cambria" w:hAnsi="Cambria" w:eastAsia="Cambria" w:cs="Cambria"/>
        <w:color w:val="00000A"/>
      </w:rPr>
    </w:pPr>
    <w:r>
      <w:rPr>
        <w:rFonts w:eastAsia="Cambria" w:cs="Cambria" w:ascii="Cambria" w:hAnsi="Cambria"/>
        <w:color w:val="00000A"/>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NSimSun" w:cs="Arial"/>
      <w:color w:val="auto"/>
      <w:kern w:val="0"/>
      <w:sz w:val="24"/>
      <w:szCs w:val="24"/>
      <w:lang w:val="pt-BR" w:eastAsia="zh-CN" w:bidi="hi-IN"/>
    </w:rPr>
  </w:style>
  <w:style w:type="paragraph" w:styleId="Ttulo1">
    <w:name w:val="Heading 1"/>
    <w:basedOn w:val="LOnormal"/>
    <w:next w:val="LOnormal"/>
    <w:uiPriority w:val="9"/>
    <w:qFormat/>
    <w:pPr>
      <w:keepNext w:val="true"/>
      <w:keepLines/>
      <w:spacing w:before="480" w:after="120"/>
      <w:outlineLvl w:val="0"/>
    </w:pPr>
    <w:rPr>
      <w:b/>
      <w:sz w:val="48"/>
      <w:szCs w:val="48"/>
    </w:rPr>
  </w:style>
  <w:style w:type="paragraph" w:styleId="Ttulo2">
    <w:name w:val="Heading 2"/>
    <w:basedOn w:val="LOnormal"/>
    <w:next w:val="LOnormal"/>
    <w:uiPriority w:val="9"/>
    <w:semiHidden/>
    <w:unhideWhenUsed/>
    <w:qFormat/>
    <w:pPr>
      <w:keepNext w:val="true"/>
      <w:keepLines/>
      <w:spacing w:before="360" w:after="80"/>
      <w:outlineLvl w:val="1"/>
    </w:pPr>
    <w:rPr>
      <w:b/>
      <w:sz w:val="36"/>
      <w:szCs w:val="36"/>
    </w:rPr>
  </w:style>
  <w:style w:type="paragraph" w:styleId="Ttulo3">
    <w:name w:val="Heading 3"/>
    <w:basedOn w:val="LOnormal"/>
    <w:next w:val="LOnormal"/>
    <w:uiPriority w:val="9"/>
    <w:semiHidden/>
    <w:unhideWhenUsed/>
    <w:qFormat/>
    <w:pPr>
      <w:keepNext w:val="true"/>
      <w:keepLines/>
      <w:spacing w:before="280" w:after="80"/>
      <w:outlineLvl w:val="2"/>
    </w:pPr>
    <w:rPr>
      <w:b/>
      <w:sz w:val="28"/>
      <w:szCs w:val="28"/>
    </w:rPr>
  </w:style>
  <w:style w:type="paragraph" w:styleId="Ttulo4">
    <w:name w:val="Heading 4"/>
    <w:basedOn w:val="LOnormal"/>
    <w:next w:val="LOnormal"/>
    <w:uiPriority w:val="9"/>
    <w:semiHidden/>
    <w:unhideWhenUsed/>
    <w:qFormat/>
    <w:pPr>
      <w:keepNext w:val="true"/>
      <w:keepLines/>
      <w:spacing w:before="240" w:after="40"/>
      <w:outlineLvl w:val="3"/>
    </w:pPr>
    <w:rPr>
      <w:b/>
    </w:rPr>
  </w:style>
  <w:style w:type="paragraph" w:styleId="Ttulo5">
    <w:name w:val="Heading 5"/>
    <w:basedOn w:val="LOnormal"/>
    <w:next w:val="LOnormal"/>
    <w:uiPriority w:val="9"/>
    <w:semiHidden/>
    <w:unhideWhenUsed/>
    <w:qFormat/>
    <w:pPr>
      <w:keepNext w:val="true"/>
      <w:keepLines/>
      <w:spacing w:before="220" w:after="40"/>
      <w:outlineLvl w:val="4"/>
    </w:pPr>
    <w:rPr>
      <w:b/>
      <w:sz w:val="22"/>
      <w:szCs w:val="22"/>
    </w:rPr>
  </w:style>
  <w:style w:type="paragraph" w:styleId="Ttulo6">
    <w:name w:val="Heading 6"/>
    <w:basedOn w:val="LOnormal"/>
    <w:next w:val="LO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LinkdaInternet" w:customStyle="1">
    <w:name w:val="Link da Internet"/>
    <w:rPr>
      <w:color w:val="000080"/>
      <w:u w:val="single"/>
    </w:rPr>
  </w:style>
  <w:style w:type="character" w:styleId="Numeraodelinhas" w:customStyle="1">
    <w:name w:val="Numeração de linhas"/>
    <w:rPr/>
  </w:style>
  <w:style w:type="character" w:styleId="TextodecomentrioChar" w:customStyle="1">
    <w:name w:val="Texto de comentário Char"/>
    <w:basedOn w:val="DefaultParagraphFont"/>
    <w:link w:val="Textodecomentrio"/>
    <w:uiPriority w:val="99"/>
    <w:qFormat/>
    <w:rPr>
      <w:rFonts w:cs="Mangal"/>
      <w:sz w:val="20"/>
      <w:szCs w:val="18"/>
    </w:rPr>
  </w:style>
  <w:style w:type="character" w:styleId="Annotationreference">
    <w:name w:val="annotation reference"/>
    <w:basedOn w:val="DefaultParagraphFont"/>
    <w:uiPriority w:val="99"/>
    <w:semiHidden/>
    <w:unhideWhenUsed/>
    <w:qFormat/>
    <w:rPr>
      <w:sz w:val="16"/>
      <w:szCs w:val="16"/>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style>
  <w:style w:type="paragraph" w:styleId="Ttulododocumento">
    <w:name w:val="Title"/>
    <w:basedOn w:val="LOnormal"/>
    <w:next w:val="Corpodotexto"/>
    <w:uiPriority w:val="10"/>
    <w:qFormat/>
    <w:pPr>
      <w:keepNext w:val="true"/>
      <w:keepLines/>
      <w:spacing w:before="480" w:after="120"/>
    </w:pPr>
    <w:rPr>
      <w:b/>
      <w:sz w:val="72"/>
      <w:szCs w:val="72"/>
    </w:rPr>
  </w:style>
  <w:style w:type="paragraph" w:styleId="Caption">
    <w:name w:val="caption"/>
    <w:basedOn w:val="Normal"/>
    <w:qFormat/>
    <w:pPr>
      <w:suppressLineNumbers/>
      <w:spacing w:before="120" w:after="120"/>
    </w:pPr>
    <w:rPr>
      <w:i/>
      <w:iCs/>
    </w:rPr>
  </w:style>
  <w:style w:type="paragraph" w:styleId="LOnormal" w:customStyle="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pt-BR" w:eastAsia="zh-CN" w:bidi="hi-IN"/>
    </w:rPr>
  </w:style>
  <w:style w:type="paragraph" w:styleId="Subttulo">
    <w:name w:val="Subtitle"/>
    <w:basedOn w:val="LOnormal"/>
    <w:next w:val="LOnormal"/>
    <w:uiPriority w:val="11"/>
    <w:qFormat/>
    <w:pPr>
      <w:keepNext w:val="true"/>
      <w:keepLines/>
      <w:spacing w:before="360" w:after="80"/>
    </w:pPr>
    <w:rPr>
      <w:rFonts w:ascii="Georgia" w:hAnsi="Georgia" w:eastAsia="Georgia" w:cs="Georgia"/>
      <w:i/>
      <w:color w:val="666666"/>
      <w:sz w:val="48"/>
      <w:szCs w:val="48"/>
    </w:rPr>
  </w:style>
  <w:style w:type="paragraph" w:styleId="CabealhoeRodap" w:customStyle="1">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Annotationtext">
    <w:name w:val="annotation text"/>
    <w:basedOn w:val="Normal"/>
    <w:link w:val="TextodecomentrioChar"/>
    <w:uiPriority w:val="99"/>
    <w:unhideWhenUsed/>
    <w:qFormat/>
    <w:pPr/>
    <w:rPr>
      <w:rFonts w:cs="Mangal"/>
      <w:sz w:val="20"/>
      <w:szCs w:val="18"/>
    </w:rPr>
  </w:style>
  <w:style w:type="paragraph" w:styleId="Revision">
    <w:name w:val="Revision"/>
    <w:uiPriority w:val="99"/>
    <w:semiHidden/>
    <w:qFormat/>
    <w:rsid w:val="000b1de8"/>
    <w:pPr>
      <w:widowControl/>
      <w:suppressAutoHyphens w:val="false"/>
      <w:bidi w:val="0"/>
      <w:spacing w:before="0" w:after="0"/>
      <w:jc w:val="left"/>
    </w:pPr>
    <w:rPr>
      <w:rFonts w:cs="Mangal" w:ascii="Times New Roman" w:hAnsi="Times New Roman" w:eastAsia="NSimSun"/>
      <w:color w:val="auto"/>
      <w:kern w:val="0"/>
      <w:sz w:val="24"/>
      <w:szCs w:val="21"/>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hyperlink" Target="http://www.ufv.br/cqbal"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LibreOffice/7.2.1.2$Windows_X86_64 LibreOffice_project/87b77fad49947c1441b67c559c339af8f3517e22</Application>
  <AppVersion>15.0000</AppVersion>
  <Pages>3</Pages>
  <Words>1361</Words>
  <Characters>7729</Characters>
  <CharactersWithSpaces>9048</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2023-10-19T20:03:00Z</dcterms:created>
  <dc:creator>analuiza goncalves</dc:creator>
  <dc:description/>
  <dc:language>pt-BR</dc:language>
  <cp:lastModifiedBy/>
  <dcterms:modified xsi:type="dcterms:W3CDTF">2023-10-20T14:16:49Z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