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header2.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LOnormal1"/>
        <w:keepNext w:val="false"/>
        <w:keepLines w:val="false"/>
        <w:pageBreakBefore w:val="false"/>
        <w:widowControl/>
        <w:shd w:val="clear" w:fill="auto"/>
        <w:spacing w:lineRule="auto" w:line="276" w:before="0" w:after="0"/>
        <w:ind w:left="0" w:right="280" w:hanging="0"/>
        <w:jc w:val="left"/>
        <w:rPr>
          <w:rFonts w:ascii="Cambria" w:hAnsi="Cambria" w:eastAsia="Cambria" w:cs="Cambria"/>
          <w:b w:val="false"/>
          <w:b w:val="false"/>
          <w:i w:val="false"/>
          <w:i w:val="false"/>
          <w:caps w:val="false"/>
          <w:smallCaps w:val="false"/>
          <w:strike w:val="false"/>
          <w:dstrike w:val="false"/>
          <w:color w:val="00000A"/>
          <w:position w:val="0"/>
          <w:sz w:val="22"/>
          <w:sz w:val="22"/>
          <w:szCs w:val="22"/>
          <w:u w:val="none"/>
          <w:shd w:fill="auto" w:val="clear"/>
          <w:vertAlign w:val="baseline"/>
        </w:rPr>
      </w:pPr>
      <w:r>
        <w:rPr>
          <w:rFonts w:eastAsia="Cambria" w:cs="Cambria" w:ascii="Cambria" w:hAnsi="Cambria"/>
          <w:b w:val="false"/>
          <w:i w:val="false"/>
          <w:caps w:val="false"/>
          <w:smallCaps w:val="false"/>
          <w:strike w:val="false"/>
          <w:dstrike w:val="false"/>
          <w:color w:val="00000A"/>
          <w:position w:val="0"/>
          <w:sz w:val="22"/>
          <w:sz w:val="22"/>
          <w:szCs w:val="22"/>
          <w:u w:val="none"/>
          <w:shd w:fill="auto" w:val="clear"/>
          <w:vertAlign w:val="baseline"/>
        </w:rPr>
        <w:drawing>
          <wp:anchor behindDoc="0" distT="0" distB="152400" distL="152400" distR="152400" simplePos="0" locked="0" layoutInCell="0" allowOverlap="1" relativeHeight="6">
            <wp:simplePos x="0" y="0"/>
            <wp:positionH relativeFrom="page">
              <wp:posOffset>-1270</wp:posOffset>
            </wp:positionH>
            <wp:positionV relativeFrom="page">
              <wp:align>top</wp:align>
            </wp:positionV>
            <wp:extent cx="7556500" cy="1115060"/>
            <wp:effectExtent l="0" t="0" r="0" b="0"/>
            <wp:wrapTopAndBottom/>
            <wp:docPr id="1" name="image1.jpg" descr="Cabeçalho SBSS-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g" descr="Cabeçalho SBSS-02.jpg"/>
                    <pic:cNvPicPr>
                      <a:picLocks noChangeAspect="1" noChangeArrowheads="1"/>
                    </pic:cNvPicPr>
                  </pic:nvPicPr>
                  <pic:blipFill>
                    <a:blip r:embed="rId2"/>
                    <a:stretch>
                      <a:fillRect/>
                    </a:stretch>
                  </pic:blipFill>
                  <pic:spPr bwMode="auto">
                    <a:xfrm>
                      <a:off x="0" y="0"/>
                      <a:ext cx="7556500" cy="1115060"/>
                    </a:xfrm>
                    <a:prstGeom prst="rect">
                      <a:avLst/>
                    </a:prstGeom>
                  </pic:spPr>
                </pic:pic>
              </a:graphicData>
            </a:graphic>
          </wp:anchor>
        </w:drawing>
      </w:r>
    </w:p>
    <w:p>
      <w:pPr>
        <w:pStyle w:val="LOnormal1"/>
        <w:keepNext w:val="false"/>
        <w:keepLines w:val="false"/>
        <w:pageBreakBefore w:val="false"/>
        <w:widowControl/>
        <w:shd w:val="clear" w:fill="auto"/>
        <w:spacing w:lineRule="auto" w:line="276" w:before="0" w:after="0"/>
        <w:ind w:left="0" w:right="280" w:hanging="0"/>
        <w:jc w:val="center"/>
        <w:rPr>
          <w:rFonts w:ascii="Arial" w:hAnsi="Arial" w:eastAsia="Arial" w:cs="Arial"/>
          <w:b w:val="false"/>
          <w:b w:val="false"/>
          <w:i w:val="false"/>
          <w:i w:val="false"/>
          <w:caps w:val="false"/>
          <w:smallCaps w:val="false"/>
          <w:strike w:val="false"/>
          <w:dstrike w:val="false"/>
          <w:color w:val="000000"/>
          <w:position w:val="0"/>
          <w:sz w:val="28"/>
          <w:sz w:val="28"/>
          <w:szCs w:val="28"/>
          <w:u w:val="none"/>
          <w:shd w:fill="auto" w:val="clear"/>
          <w:vertAlign w:val="baseline"/>
        </w:rPr>
      </w:pPr>
      <w:r>
        <w:rPr>
          <w:rFonts w:eastAsia="Arial" w:cs="Arial" w:ascii="Arial" w:hAnsi="Arial"/>
          <w:b/>
          <w:i w:val="false"/>
          <w:caps w:val="false"/>
          <w:smallCaps w:val="false"/>
          <w:strike w:val="false"/>
          <w:dstrike w:val="false"/>
          <w:color w:val="000000"/>
          <w:position w:val="0"/>
          <w:sz w:val="28"/>
          <w:sz w:val="28"/>
          <w:szCs w:val="28"/>
          <w:u w:val="none"/>
          <w:shd w:fill="auto" w:val="clear"/>
          <w:vertAlign w:val="baseline"/>
        </w:rPr>
        <w:t>DES</w:t>
      </w:r>
      <w:r>
        <w:rPr>
          <w:rFonts w:eastAsia="Arial" w:cs="Arial" w:ascii="Arial" w:hAnsi="Arial"/>
          <w:b/>
          <w:sz w:val="28"/>
          <w:szCs w:val="28"/>
        </w:rPr>
        <w:t>EMPENHO DE</w:t>
      </w:r>
      <w:r>
        <w:rPr>
          <w:rFonts w:eastAsia="Arial" w:cs="Arial" w:ascii="Arial" w:hAnsi="Arial"/>
          <w:b/>
          <w:i w:val="false"/>
          <w:caps w:val="false"/>
          <w:smallCaps w:val="false"/>
          <w:strike w:val="false"/>
          <w:dstrike w:val="false"/>
          <w:color w:val="000000"/>
          <w:position w:val="0"/>
          <w:sz w:val="28"/>
          <w:sz w:val="28"/>
          <w:szCs w:val="28"/>
          <w:u w:val="none"/>
          <w:shd w:fill="auto" w:val="clear"/>
          <w:vertAlign w:val="baseline"/>
        </w:rPr>
        <w:t xml:space="preserve"> CULTIVARES DE AZEVÉM ANUAL NO PLANALTO NORTE CATARINENSE NOS ANOS DE 2021 E 2022</w:t>
      </w:r>
    </w:p>
    <w:p>
      <w:pPr>
        <w:pStyle w:val="LOnormal1"/>
        <w:keepNext w:val="false"/>
        <w:keepLines w:val="false"/>
        <w:pageBreakBefore w:val="false"/>
        <w:widowControl/>
        <w:shd w:val="clear" w:fill="auto"/>
        <w:spacing w:lineRule="auto" w:line="240" w:before="0" w:after="0"/>
        <w:ind w:left="0" w:right="284" w:hanging="0"/>
        <w:jc w:val="center"/>
        <w:rPr>
          <w:rFonts w:ascii="Arial" w:hAnsi="Arial" w:eastAsia="Arial" w:cs="Arial"/>
          <w:b w:val="false"/>
          <w:b w:val="false"/>
          <w:i w:val="false"/>
          <w:i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r>
    </w:p>
    <w:p>
      <w:pPr>
        <w:pStyle w:val="LOnormal1"/>
        <w:keepNext w:val="false"/>
        <w:keepLines w:val="false"/>
        <w:pageBreakBefore w:val="false"/>
        <w:widowControl/>
        <w:shd w:val="clear" w:fill="auto"/>
        <w:spacing w:lineRule="auto" w:line="240" w:before="0" w:after="0"/>
        <w:ind w:left="0" w:right="284" w:hanging="0"/>
        <w:jc w:val="center"/>
        <w:rPr>
          <w:rFonts w:ascii="Arial" w:hAnsi="Arial" w:eastAsia="Arial" w:cs="Arial"/>
          <w:b w:val="false"/>
          <w:b w:val="false"/>
          <w:i w:val="false"/>
          <w:i w:val="false"/>
          <w:caps w:val="false"/>
          <w:smallCaps w:val="false"/>
          <w:strike w:val="false"/>
          <w:dstrike w:val="false"/>
          <w:color w:val="000000"/>
          <w:position w:val="0"/>
          <w:sz w:val="20"/>
          <w:sz w:val="20"/>
          <w:szCs w:val="20"/>
          <w:u w:val="none"/>
          <w:shd w:fill="auto" w:val="clear"/>
          <w:vertAlign w:val="baseline"/>
        </w:rPr>
      </w:pPr>
      <w:hyperlink r:id="rId3">
        <w:r>
          <w:rPr/>
        </w:r>
      </w:hyperlink>
    </w:p>
    <w:p>
      <w:pPr>
        <w:pStyle w:val="LOnormal1"/>
        <w:keepNext w:val="false"/>
        <w:keepLines w:val="false"/>
        <w:pageBreakBefore w:val="false"/>
        <w:widowControl/>
        <w:shd w:val="clear" w:fill="auto"/>
        <w:spacing w:lineRule="auto" w:line="240" w:before="0" w:after="0"/>
        <w:ind w:left="0" w:right="284" w:hanging="0"/>
        <w:jc w:val="center"/>
        <w:rPr>
          <w:rFonts w:ascii="Arial" w:hAnsi="Arial" w:eastAsia="Arial" w:cs="Arial"/>
          <w:sz w:val="20"/>
          <w:szCs w:val="20"/>
        </w:rPr>
      </w:pPr>
      <w:r>
        <w:rPr>
          <w:rFonts w:eastAsia="Arial" w:cs="Arial" w:ascii="Arial" w:hAnsi="Arial"/>
          <w:sz w:val="20"/>
          <w:szCs w:val="20"/>
        </w:rPr>
      </w:r>
    </w:p>
    <w:p>
      <w:pPr>
        <w:pStyle w:val="LOnormal1"/>
        <w:keepNext w:val="false"/>
        <w:keepLines w:val="false"/>
        <w:pageBreakBefore w:val="false"/>
        <w:widowControl/>
        <w:shd w:val="clear" w:fill="auto"/>
        <w:spacing w:lineRule="auto" w:line="240" w:before="0" w:after="0"/>
        <w:ind w:left="0" w:right="284" w:hanging="0"/>
        <w:jc w:val="left"/>
        <w:rPr>
          <w:rFonts w:ascii="Arial" w:hAnsi="Arial" w:eastAsia="Arial" w:cs="Arial"/>
          <w:b w:val="false"/>
          <w:b w:val="false"/>
          <w:i w:val="false"/>
          <w:i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r>
    </w:p>
    <w:p>
      <w:pPr>
        <w:pStyle w:val="LOnormal1"/>
        <w:keepNext w:val="false"/>
        <w:keepLines w:val="false"/>
        <w:pageBreakBefore w:val="false"/>
        <w:widowControl/>
        <w:shd w:val="clear" w:fill="auto"/>
        <w:spacing w:lineRule="auto" w:line="240" w:before="0" w:after="0"/>
        <w:ind w:left="0" w:right="0" w:hanging="0"/>
        <w:jc w:val="both"/>
        <w:rPr>
          <w:rFonts w:ascii="Arial" w:hAnsi="Arial" w:eastAsia="Arial" w:cs="Arial"/>
          <w:sz w:val="22"/>
          <w:szCs w:val="22"/>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Contribuição para a sociedade</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 </w:t>
      </w:r>
      <w:r>
        <w:rPr>
          <w:rFonts w:eastAsia="Arial" w:cs="Arial" w:ascii="Arial" w:hAnsi="Arial"/>
          <w:sz w:val="22"/>
          <w:szCs w:val="22"/>
        </w:rPr>
        <w:t xml:space="preserve">o azevém é uma forrageira amplamente utilizada nos sistemas de produção animal à base de pasto, dado sua alta qualidade e produtividade. Na última década, diversos cultivares tem  sido lançados no mercado, demandando  ensaios que avaliem seu desempenho nas diferentes condições de clima e solo da região Sul do Brasil. </w:t>
      </w:r>
    </w:p>
    <w:p>
      <w:pPr>
        <w:pStyle w:val="LOnormal1"/>
        <w:keepNext w:val="false"/>
        <w:keepLines w:val="false"/>
        <w:pageBreakBefore w:val="false"/>
        <w:widowControl/>
        <w:shd w:val="clear" w:fill="auto"/>
        <w:spacing w:lineRule="auto" w:line="240" w:before="0" w:after="0"/>
        <w:ind w:left="0" w:right="0" w:hanging="0"/>
        <w:jc w:val="both"/>
        <w:rPr>
          <w:rFonts w:ascii="Arial" w:hAnsi="Arial" w:eastAsia="Arial" w:cs="Arial"/>
          <w:sz w:val="22"/>
          <w:szCs w:val="22"/>
        </w:rPr>
      </w:pPr>
      <w:r>
        <w:rPr>
          <w:rFonts w:eastAsia="Arial" w:cs="Arial" w:ascii="Arial" w:hAnsi="Arial"/>
          <w:sz w:val="22"/>
          <w:szCs w:val="22"/>
        </w:rPr>
        <w:t xml:space="preserve"> </w:t>
      </w:r>
    </w:p>
    <w:p>
      <w:pPr>
        <w:pStyle w:val="LOnormal1"/>
        <w:keepNext w:val="false"/>
        <w:keepLines w:val="false"/>
        <w:pageBreakBefore w:val="false"/>
        <w:widowControl/>
        <w:shd w:val="clear" w:fill="auto"/>
        <w:spacing w:lineRule="auto" w:line="240" w:before="0" w:after="0"/>
        <w:ind w:left="0" w:right="0" w:hanging="0"/>
        <w:jc w:val="both"/>
        <w:rPr>
          <w:rFonts w:ascii="Cambria" w:hAnsi="Cambria" w:eastAsia="Cambria" w:cs="Cambria"/>
          <w:b w:val="false"/>
          <w:b w:val="false"/>
          <w:i w:val="false"/>
          <w:i w:val="false"/>
          <w:caps w:val="false"/>
          <w:smallCaps w:val="false"/>
          <w:strike w:val="false"/>
          <w:dstrike w:val="false"/>
          <w:color w:val="00000A"/>
          <w:position w:val="0"/>
          <w:sz w:val="24"/>
          <w:sz w:val="24"/>
          <w:szCs w:val="24"/>
          <w:u w:val="none"/>
          <w:shd w:fill="auto" w:val="clear"/>
          <w:vertAlign w:val="baseline"/>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Palavras-chave</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 </w:t>
      </w:r>
      <w:r>
        <w:rPr>
          <w:rFonts w:eastAsia="Arial" w:cs="Arial" w:ascii="Arial" w:hAnsi="Arial"/>
          <w:b w:val="false"/>
          <w:i/>
          <w:caps w:val="false"/>
          <w:smallCaps w:val="false"/>
          <w:strike w:val="false"/>
          <w:dstrike w:val="false"/>
          <w:color w:val="000000"/>
          <w:position w:val="0"/>
          <w:sz w:val="22"/>
          <w:sz w:val="22"/>
          <w:szCs w:val="22"/>
          <w:u w:val="none"/>
          <w:shd w:fill="auto" w:val="clear"/>
          <w:vertAlign w:val="baseline"/>
        </w:rPr>
        <w:t>Lolium multiflorum</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 L., pastagem, programas de melhoramento, </w:t>
      </w:r>
      <w:r>
        <w:rPr>
          <w:rFonts w:eastAsia="Arial" w:cs="Arial" w:ascii="Arial" w:hAnsi="Arial"/>
          <w:sz w:val="22"/>
          <w:szCs w:val="22"/>
        </w:rPr>
        <w:t>en</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saios de VCU.</w:t>
      </w:r>
    </w:p>
    <w:p>
      <w:pPr>
        <w:pStyle w:val="LOnormal1"/>
        <w:keepNext w:val="false"/>
        <w:keepLines w:val="false"/>
        <w:pageBreakBefore w:val="false"/>
        <w:widowControl/>
        <w:shd w:val="clear" w:fill="auto"/>
        <w:spacing w:lineRule="auto" w:line="240" w:before="0" w:after="0"/>
        <w:ind w:left="0" w:right="0" w:hanging="0"/>
        <w:jc w:val="both"/>
        <w:rPr>
          <w:rFonts w:ascii="Arial" w:hAnsi="Arial" w:eastAsia="Arial" w:cs="Arial"/>
          <w:b w:val="false"/>
          <w:b w:val="false"/>
          <w:i w:val="false"/>
          <w:i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r>
    </w:p>
    <w:p>
      <w:pPr>
        <w:pStyle w:val="LOnormal1"/>
        <w:keepNext w:val="false"/>
        <w:keepLines w:val="false"/>
        <w:pageBreakBefore w:val="false"/>
        <w:widowControl/>
        <w:shd w:val="clear" w:fill="auto"/>
        <w:spacing w:lineRule="auto" w:line="240" w:before="0" w:after="0"/>
        <w:ind w:left="0" w:right="0" w:hanging="0"/>
        <w:jc w:val="both"/>
        <w:rPr>
          <w:rFonts w:ascii="Arial" w:hAnsi="Arial" w:eastAsia="Arial" w:cs="Arial"/>
          <w:b/>
          <w:b/>
          <w:i w:val="false"/>
          <w:i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 xml:space="preserve">Introdução: </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No Sul do Brasil, o azevém anual (</w:t>
      </w:r>
      <w:r>
        <w:rPr>
          <w:rFonts w:eastAsia="Arial" w:cs="Arial" w:ascii="Arial" w:hAnsi="Arial"/>
          <w:b w:val="false"/>
          <w:i/>
          <w:caps w:val="false"/>
          <w:smallCaps w:val="false"/>
          <w:strike w:val="false"/>
          <w:dstrike w:val="false"/>
          <w:color w:val="000000"/>
          <w:position w:val="0"/>
          <w:sz w:val="22"/>
          <w:sz w:val="22"/>
          <w:szCs w:val="22"/>
          <w:u w:val="none"/>
          <w:shd w:fill="auto" w:val="clear"/>
          <w:vertAlign w:val="baseline"/>
        </w:rPr>
        <w:t>Lolium multiflorum</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 L.) é </w:t>
      </w:r>
      <w:r>
        <w:rPr>
          <w:rFonts w:eastAsia="Arial" w:cs="Arial" w:ascii="Arial" w:hAnsi="Arial"/>
          <w:sz w:val="22"/>
          <w:szCs w:val="22"/>
        </w:rPr>
        <w:t>largamente</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 utilizado em sistemas de produção animal à base de pasto, apresentando destaque na produção de massa de forragem, capacidade de rebrote e valor nutricional elevado (OLIVEIRA et al., 2019), desde que manejado adequadamente (CÓRDOVA &amp; FLARESSO, 2015). Entretanto, uma limitação no uso da espécie refere-se à dificuldade de técnicos e produtores na escolha de cultivares com maior adaptação às condições </w:t>
      </w:r>
      <w:r>
        <w:rPr>
          <w:rFonts w:eastAsia="Arial" w:cs="Arial" w:ascii="Arial" w:hAnsi="Arial"/>
          <w:sz w:val="22"/>
          <w:szCs w:val="22"/>
        </w:rPr>
        <w:t>específicas</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 de cada região, em função da alta disponibilidade de cultivares no mercado (HANISCH et al., 2019). Diante disso, o objetivo deste trabalho foi avaliar o </w:t>
      </w:r>
      <w:r>
        <w:rPr>
          <w:rFonts w:eastAsia="Arial" w:cs="Arial" w:ascii="Arial" w:hAnsi="Arial"/>
          <w:sz w:val="22"/>
          <w:szCs w:val="22"/>
        </w:rPr>
        <w:t>desempenho</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 de cultivares de azevém anual provenientes dos programas de melhoramento da Empresa de Pesquisa Agropecuária e Extensão Rural de Santa Catarina - Epagri e da Empresa Brasileira de Pesquisa Agropecuária - Embrapa, na região do Planalto Norte Catarinense. </w:t>
      </w:r>
    </w:p>
    <w:p>
      <w:pPr>
        <w:pStyle w:val="LOnormal1"/>
        <w:keepNext w:val="false"/>
        <w:keepLines w:val="false"/>
        <w:pageBreakBefore w:val="false"/>
        <w:widowControl/>
        <w:shd w:val="clear" w:fill="auto"/>
        <w:spacing w:lineRule="auto" w:line="240" w:before="0" w:after="0"/>
        <w:ind w:left="0" w:right="0" w:hanging="0"/>
        <w:jc w:val="both"/>
        <w:rPr>
          <w:rFonts w:ascii="Arial" w:hAnsi="Arial" w:eastAsia="Arial" w:cs="Arial"/>
          <w:b w:val="false"/>
          <w:b w:val="false"/>
          <w:i w:val="false"/>
          <w:i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r>
    </w:p>
    <w:p>
      <w:pPr>
        <w:pStyle w:val="LOnormal1"/>
        <w:keepNext w:val="false"/>
        <w:keepLines w:val="false"/>
        <w:pageBreakBefore w:val="false"/>
        <w:widowControl/>
        <w:shd w:val="clear" w:fill="auto"/>
        <w:spacing w:lineRule="auto" w:line="240" w:before="0" w:after="0"/>
        <w:ind w:left="0" w:right="0" w:hanging="0"/>
        <w:jc w:val="both"/>
        <w:rPr>
          <w:rFonts w:ascii="Arial" w:hAnsi="Arial" w:eastAsia="Arial" w:cs="Arial"/>
          <w:b w:val="false"/>
          <w:b w:val="false"/>
          <w:i w:val="false"/>
          <w:i w:val="false"/>
          <w:caps w:val="false"/>
          <w:smallCaps w:val="false"/>
          <w:strike w:val="false"/>
          <w:dstrike w:val="false"/>
          <w:color w:val="00000A"/>
          <w:position w:val="0"/>
          <w:sz w:val="22"/>
          <w:sz w:val="22"/>
          <w:szCs w:val="22"/>
          <w:u w:val="none"/>
          <w:shd w:fill="auto" w:val="clear"/>
          <w:vertAlign w:val="baseline"/>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Material e métodos:</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 </w:t>
      </w:r>
      <w:r>
        <w:rPr>
          <w:rFonts w:eastAsia="Arial" w:cs="Arial" w:ascii="Arial" w:hAnsi="Arial"/>
          <w:b w:val="false"/>
          <w:i w:val="false"/>
          <w:caps w:val="false"/>
          <w:smallCaps w:val="false"/>
          <w:strike w:val="false"/>
          <w:dstrike w:val="false"/>
          <w:color w:val="00000A"/>
          <w:position w:val="0"/>
          <w:sz w:val="22"/>
          <w:sz w:val="22"/>
          <w:szCs w:val="22"/>
          <w:u w:val="none"/>
          <w:shd w:fill="auto" w:val="clear"/>
          <w:vertAlign w:val="baseline"/>
        </w:rPr>
        <w:t>Os ensaios para avaliação de cultivares de azevém-anual (</w:t>
      </w:r>
      <w:r>
        <w:rPr>
          <w:rFonts w:eastAsia="Arial" w:cs="Arial" w:ascii="Arial" w:hAnsi="Arial"/>
          <w:b w:val="false"/>
          <w:i/>
          <w:caps w:val="false"/>
          <w:smallCaps w:val="false"/>
          <w:strike w:val="false"/>
          <w:dstrike w:val="false"/>
          <w:color w:val="00000A"/>
          <w:position w:val="0"/>
          <w:sz w:val="22"/>
          <w:sz w:val="22"/>
          <w:szCs w:val="22"/>
          <w:u w:val="none"/>
          <w:shd w:fill="auto" w:val="clear"/>
          <w:vertAlign w:val="baseline"/>
        </w:rPr>
        <w:t>Lolium multiflorum</w:t>
      </w:r>
      <w:r>
        <w:rPr>
          <w:rFonts w:eastAsia="Arial" w:cs="Arial" w:ascii="Arial" w:hAnsi="Arial"/>
          <w:b w:val="false"/>
          <w:i w:val="false"/>
          <w:caps w:val="false"/>
          <w:smallCaps w:val="false"/>
          <w:strike w:val="false"/>
          <w:dstrike w:val="false"/>
          <w:color w:val="00000A"/>
          <w:position w:val="0"/>
          <w:sz w:val="22"/>
          <w:sz w:val="22"/>
          <w:szCs w:val="22"/>
          <w:u w:val="none"/>
          <w:shd w:fill="auto" w:val="clear"/>
          <w:vertAlign w:val="baseline"/>
        </w:rPr>
        <w:t xml:space="preserve"> L.) foram implantados em dois anos consecutivos, 2021 e 2022, na Estação Experimental de Canoinhas (Epagri) no município de Papanduva (26°22’11”S, 50°16’41”O, altitude de 800m e clima Cfb). Em ambos os anos foi utilizado delineamento de blocos casualizados, com quatro repetições e sete tratamentos formados por cultivares provenientes dos programas de melhoramento da Epagri (Empasc 304 Serrana; SCS316 CR Altovale; SCS317 Centenário</w:t>
      </w:r>
      <w:r>
        <w:rPr>
          <w:rFonts w:eastAsia="Arial" w:cs="Arial" w:ascii="Arial" w:hAnsi="Arial"/>
          <w:color w:val="00000A"/>
          <w:sz w:val="22"/>
          <w:szCs w:val="22"/>
          <w:shd w:fill="auto" w:val="clear"/>
        </w:rPr>
        <w:t xml:space="preserve">) </w:t>
      </w:r>
      <w:r>
        <w:rPr>
          <w:rFonts w:eastAsia="Arial" w:cs="Arial" w:ascii="Arial" w:hAnsi="Arial"/>
          <w:b w:val="false"/>
          <w:i w:val="false"/>
          <w:caps w:val="false"/>
          <w:smallCaps w:val="false"/>
          <w:strike w:val="false"/>
          <w:dstrike w:val="false"/>
          <w:color w:val="00000A"/>
          <w:position w:val="0"/>
          <w:sz w:val="22"/>
          <w:sz w:val="22"/>
          <w:szCs w:val="22"/>
          <w:u w:val="none"/>
          <w:shd w:fill="auto" w:val="clear"/>
          <w:vertAlign w:val="baseline"/>
        </w:rPr>
        <w:t>e da Embrapa (BRS Estações; BRS Integração; BRS Ponteio; BRS Verdeio). A semeadura ocorreu em 10</w:t>
      </w:r>
      <w:r>
        <w:rPr>
          <w:rFonts w:eastAsia="Arial" w:cs="Arial" w:ascii="Arial" w:hAnsi="Arial"/>
          <w:color w:val="00000A"/>
          <w:sz w:val="22"/>
          <w:szCs w:val="22"/>
        </w:rPr>
        <w:t xml:space="preserve"> de maio no ano de </w:t>
      </w:r>
      <w:r>
        <w:rPr>
          <w:rFonts w:eastAsia="Arial" w:cs="Arial" w:ascii="Arial" w:hAnsi="Arial"/>
          <w:b w:val="false"/>
          <w:i w:val="false"/>
          <w:caps w:val="false"/>
          <w:smallCaps w:val="false"/>
          <w:strike w:val="false"/>
          <w:dstrike w:val="false"/>
          <w:color w:val="00000A"/>
          <w:position w:val="0"/>
          <w:sz w:val="22"/>
          <w:sz w:val="22"/>
          <w:szCs w:val="22"/>
          <w:u w:val="none"/>
          <w:shd w:fill="auto" w:val="clear"/>
          <w:vertAlign w:val="baseline"/>
        </w:rPr>
        <w:t>2021 e em 28 de abril em 2022 (25kg.ha</w:t>
      </w:r>
      <w:r>
        <w:rPr>
          <w:rFonts w:eastAsia="Arial" w:cs="Arial" w:ascii="Arial" w:hAnsi="Arial"/>
          <w:b w:val="false"/>
          <w:i w:val="false"/>
          <w:caps w:val="false"/>
          <w:smallCaps w:val="false"/>
          <w:strike w:val="false"/>
          <w:dstrike w:val="false"/>
          <w:color w:val="00000A"/>
          <w:sz w:val="22"/>
          <w:szCs w:val="22"/>
          <w:u w:val="none"/>
          <w:shd w:fill="auto" w:val="clear"/>
          <w:vertAlign w:val="superscript"/>
        </w:rPr>
        <w:t>-1</w:t>
      </w:r>
      <w:r>
        <w:rPr>
          <w:rFonts w:eastAsia="Arial" w:cs="Arial" w:ascii="Arial" w:hAnsi="Arial"/>
          <w:b w:val="false"/>
          <w:i w:val="false"/>
          <w:caps w:val="false"/>
          <w:smallCaps w:val="false"/>
          <w:strike w:val="false"/>
          <w:dstrike w:val="false"/>
          <w:color w:val="00000A"/>
          <w:position w:val="0"/>
          <w:sz w:val="22"/>
          <w:sz w:val="22"/>
          <w:szCs w:val="22"/>
          <w:u w:val="none"/>
          <w:shd w:fill="auto" w:val="clear"/>
          <w:vertAlign w:val="baseline"/>
        </w:rPr>
        <w:t xml:space="preserve"> de sementes), em plantio convencional, com o solo corrigido e com a aplicação de </w:t>
      </w:r>
      <w:r>
        <w:rPr>
          <w:rFonts w:eastAsia="Arial" w:cs="Arial" w:ascii="Arial" w:hAnsi="Arial"/>
          <w:b w:val="false"/>
          <w:i w:val="false"/>
          <w:caps w:val="false"/>
          <w:smallCaps w:val="false"/>
          <w:strike w:val="false"/>
          <w:dstrike w:val="false"/>
          <w:position w:val="0"/>
          <w:sz w:val="22"/>
          <w:sz w:val="22"/>
          <w:szCs w:val="22"/>
          <w:u w:val="none"/>
          <w:shd w:fill="auto" w:val="clear"/>
          <w:vertAlign w:val="baseline"/>
        </w:rPr>
        <w:t>200kg de 8-20-20.</w:t>
      </w:r>
      <w:r>
        <w:rPr>
          <w:rFonts w:eastAsia="Arial" w:cs="Arial" w:ascii="Arial" w:hAnsi="Arial"/>
          <w:b w:val="false"/>
          <w:i w:val="false"/>
          <w:caps w:val="false"/>
          <w:smallCaps w:val="false"/>
          <w:strike w:val="false"/>
          <w:dstrike w:val="false"/>
          <w:color w:val="FF0000"/>
          <w:position w:val="0"/>
          <w:sz w:val="22"/>
          <w:sz w:val="22"/>
          <w:szCs w:val="22"/>
          <w:u w:val="none"/>
          <w:shd w:fill="auto" w:val="clear"/>
          <w:vertAlign w:val="baseline"/>
        </w:rPr>
        <w:t xml:space="preserve"> </w:t>
      </w:r>
      <w:r>
        <w:rPr>
          <w:rFonts w:eastAsia="Arial" w:cs="Arial" w:ascii="Arial" w:hAnsi="Arial"/>
          <w:b w:val="false"/>
          <w:i w:val="false"/>
          <w:caps w:val="false"/>
          <w:smallCaps w:val="false"/>
          <w:strike w:val="false"/>
          <w:dstrike w:val="false"/>
          <w:color w:val="00000A"/>
          <w:position w:val="0"/>
          <w:sz w:val="22"/>
          <w:sz w:val="22"/>
          <w:szCs w:val="22"/>
          <w:u w:val="none"/>
          <w:shd w:fill="auto" w:val="clear"/>
          <w:vertAlign w:val="baseline"/>
        </w:rPr>
        <w:t>A área das parcelas foi formada por oito linhas de cinco metros, espaçadas de 0,2m, sendo consideradas úteis as quatro linhas centrais, eliminando-se 0,5m nas extremidades. Avaliou-se a produção de massa seca por hectare (MS.ha</w:t>
      </w:r>
      <w:r>
        <w:rPr>
          <w:rFonts w:eastAsia="Arial" w:cs="Arial" w:ascii="Arial" w:hAnsi="Arial"/>
          <w:b w:val="false"/>
          <w:i w:val="false"/>
          <w:caps w:val="false"/>
          <w:smallCaps w:val="false"/>
          <w:strike w:val="false"/>
          <w:dstrike w:val="false"/>
          <w:color w:val="00000A"/>
          <w:sz w:val="22"/>
          <w:szCs w:val="22"/>
          <w:u w:val="none"/>
          <w:shd w:fill="auto" w:val="clear"/>
          <w:vertAlign w:val="superscript"/>
        </w:rPr>
        <w:t>-1</w:t>
      </w:r>
      <w:r>
        <w:rPr>
          <w:rFonts w:eastAsia="Arial" w:cs="Arial" w:ascii="Arial" w:hAnsi="Arial"/>
          <w:b w:val="false"/>
          <w:i w:val="false"/>
          <w:caps w:val="false"/>
          <w:smallCaps w:val="false"/>
          <w:strike w:val="false"/>
          <w:dstrike w:val="false"/>
          <w:color w:val="00000A"/>
          <w:position w:val="0"/>
          <w:sz w:val="22"/>
          <w:sz w:val="22"/>
          <w:szCs w:val="22"/>
          <w:u w:val="none"/>
          <w:shd w:fill="auto" w:val="clear"/>
          <w:vertAlign w:val="baseline"/>
        </w:rPr>
        <w:t xml:space="preserve">); número de cortes e dano por geadas, utilizando-se </w:t>
      </w:r>
      <w:r>
        <w:rPr>
          <w:rFonts w:eastAsia="Arial" w:cs="Arial" w:ascii="Arial" w:hAnsi="Arial"/>
          <w:color w:val="00000A"/>
          <w:sz w:val="22"/>
          <w:szCs w:val="22"/>
        </w:rPr>
        <w:t xml:space="preserve">escala de 1 a 10, sendo 1 altamente tolerante (nenhum sintoma de dano) e 10 altamente sensível (todas as plantas severamente queimadas devido ao dano), sendo a avaliação realizada 5 a 6 dias após o evento. </w:t>
      </w:r>
      <w:r>
        <w:rPr>
          <w:rFonts w:eastAsia="Arial" w:cs="Arial" w:ascii="Arial" w:hAnsi="Arial"/>
          <w:b w:val="false"/>
          <w:i w:val="false"/>
          <w:caps w:val="false"/>
          <w:smallCaps w:val="false"/>
          <w:strike w:val="false"/>
          <w:dstrike w:val="false"/>
          <w:color w:val="00000A"/>
          <w:position w:val="0"/>
          <w:sz w:val="22"/>
          <w:sz w:val="22"/>
          <w:szCs w:val="22"/>
          <w:u w:val="none"/>
          <w:shd w:fill="auto" w:val="clear"/>
          <w:vertAlign w:val="baseline"/>
        </w:rPr>
        <w:t xml:space="preserve"> Os cortes para avalia</w:t>
      </w:r>
      <w:r>
        <w:rPr>
          <w:rFonts w:eastAsia="Arial" w:cs="Arial" w:ascii="Arial" w:hAnsi="Arial"/>
          <w:color w:val="00000A"/>
          <w:sz w:val="22"/>
          <w:szCs w:val="22"/>
        </w:rPr>
        <w:t xml:space="preserve">ção da massa seca </w:t>
      </w:r>
      <w:r>
        <w:rPr>
          <w:rFonts w:eastAsia="Arial" w:cs="Arial" w:ascii="Arial" w:hAnsi="Arial"/>
          <w:b w:val="false"/>
          <w:i w:val="false"/>
          <w:caps w:val="false"/>
          <w:smallCaps w:val="false"/>
          <w:strike w:val="false"/>
          <w:dstrike w:val="false"/>
          <w:color w:val="00000A"/>
          <w:position w:val="0"/>
          <w:sz w:val="22"/>
          <w:sz w:val="22"/>
          <w:szCs w:val="22"/>
          <w:u w:val="none"/>
          <w:shd w:fill="auto" w:val="clear"/>
          <w:vertAlign w:val="baseline"/>
        </w:rPr>
        <w:t xml:space="preserve">foram realizados quando a altura média das plantas </w:t>
      </w:r>
      <w:r>
        <w:rPr>
          <w:rFonts w:eastAsia="Arial" w:cs="Arial" w:ascii="Arial" w:hAnsi="Arial"/>
          <w:color w:val="00000A"/>
          <w:sz w:val="22"/>
          <w:szCs w:val="22"/>
        </w:rPr>
        <w:t>atingia</w:t>
      </w:r>
      <w:r>
        <w:rPr>
          <w:rFonts w:eastAsia="Arial" w:cs="Arial" w:ascii="Arial" w:hAnsi="Arial"/>
          <w:b w:val="false"/>
          <w:i w:val="false"/>
          <w:caps w:val="false"/>
          <w:smallCaps w:val="false"/>
          <w:strike w:val="false"/>
          <w:dstrike w:val="false"/>
          <w:color w:val="00000A"/>
          <w:position w:val="0"/>
          <w:sz w:val="22"/>
          <w:sz w:val="22"/>
          <w:szCs w:val="22"/>
          <w:u w:val="none"/>
          <w:shd w:fill="auto" w:val="clear"/>
          <w:vertAlign w:val="baseline"/>
        </w:rPr>
        <w:t xml:space="preserve"> 0,25m, com resíduo de 0,10m, sendo, po</w:t>
      </w:r>
      <w:r>
        <w:rPr>
          <w:rFonts w:eastAsia="Arial" w:cs="Arial" w:ascii="Arial" w:hAnsi="Arial"/>
          <w:color w:val="00000A"/>
          <w:sz w:val="22"/>
          <w:szCs w:val="22"/>
        </w:rPr>
        <w:t>steriormente,</w:t>
      </w:r>
      <w:r>
        <w:rPr>
          <w:rFonts w:eastAsia="Arial" w:cs="Arial" w:ascii="Arial" w:hAnsi="Arial"/>
          <w:b w:val="false"/>
          <w:i w:val="false"/>
          <w:caps w:val="false"/>
          <w:smallCaps w:val="false"/>
          <w:strike w:val="false"/>
          <w:dstrike w:val="false"/>
          <w:color w:val="00000A"/>
          <w:position w:val="0"/>
          <w:sz w:val="22"/>
          <w:sz w:val="22"/>
          <w:szCs w:val="22"/>
          <w:u w:val="none"/>
          <w:shd w:fill="auto" w:val="clear"/>
          <w:vertAlign w:val="baseline"/>
        </w:rPr>
        <w:t xml:space="preserve"> realizado cortes de uniformização em toda a parcela</w:t>
      </w:r>
      <w:r>
        <w:rPr>
          <w:rFonts w:eastAsia="Arial" w:cs="Arial" w:ascii="Arial" w:hAnsi="Arial"/>
          <w:color w:val="00000A"/>
          <w:sz w:val="22"/>
          <w:szCs w:val="22"/>
        </w:rPr>
        <w:t xml:space="preserve"> e </w:t>
      </w:r>
      <w:r>
        <w:rPr>
          <w:rFonts w:eastAsia="Arial" w:cs="Arial" w:ascii="Arial" w:hAnsi="Arial"/>
          <w:b w:val="false"/>
          <w:i w:val="false"/>
          <w:caps w:val="false"/>
          <w:smallCaps w:val="false"/>
          <w:strike w:val="false"/>
          <w:dstrike w:val="false"/>
          <w:color w:val="00000A"/>
          <w:position w:val="0"/>
          <w:sz w:val="22"/>
          <w:sz w:val="22"/>
          <w:szCs w:val="22"/>
          <w:u w:val="none"/>
          <w:shd w:fill="auto" w:val="clear"/>
          <w:vertAlign w:val="baseline"/>
        </w:rPr>
        <w:t>retirada do material morto</w:t>
      </w:r>
      <w:r>
        <w:rPr>
          <w:rFonts w:eastAsia="Arial" w:cs="Arial" w:ascii="Arial" w:hAnsi="Arial"/>
          <w:color w:val="00000A"/>
          <w:sz w:val="22"/>
          <w:szCs w:val="22"/>
        </w:rPr>
        <w:t xml:space="preserve">. </w:t>
      </w:r>
      <w:r>
        <w:rPr>
          <w:rFonts w:eastAsia="Arial" w:cs="Arial" w:ascii="Arial" w:hAnsi="Arial"/>
          <w:b w:val="false"/>
          <w:i w:val="false"/>
          <w:caps w:val="false"/>
          <w:smallCaps w:val="false"/>
          <w:strike w:val="false"/>
          <w:dstrike w:val="false"/>
          <w:color w:val="00000A"/>
          <w:position w:val="0"/>
          <w:sz w:val="22"/>
          <w:sz w:val="22"/>
          <w:szCs w:val="22"/>
          <w:u w:val="none"/>
          <w:shd w:fill="auto" w:val="clear"/>
          <w:vertAlign w:val="baseline"/>
        </w:rPr>
        <w:t xml:space="preserve">As amostras cortadas foram pesadas e secas em estufa a 65°C, com circulação forçada de ar, por 72 horas e em seguida </w:t>
      </w:r>
      <w:r>
        <w:rPr>
          <w:rFonts w:eastAsia="Arial" w:cs="Arial" w:ascii="Arial" w:hAnsi="Arial"/>
          <w:color w:val="00000A"/>
          <w:sz w:val="22"/>
          <w:szCs w:val="22"/>
        </w:rPr>
        <w:t>novamente</w:t>
      </w:r>
      <w:r>
        <w:rPr>
          <w:rFonts w:eastAsia="Arial" w:cs="Arial" w:ascii="Arial" w:hAnsi="Arial"/>
          <w:b w:val="false"/>
          <w:i w:val="false"/>
          <w:caps w:val="false"/>
          <w:smallCaps w:val="false"/>
          <w:strike w:val="false"/>
          <w:dstrike w:val="false"/>
          <w:color w:val="00000A"/>
          <w:position w:val="0"/>
          <w:sz w:val="22"/>
          <w:sz w:val="22"/>
          <w:szCs w:val="22"/>
          <w:u w:val="none"/>
          <w:shd w:fill="auto" w:val="clear"/>
          <w:vertAlign w:val="baseline"/>
        </w:rPr>
        <w:t xml:space="preserve"> pesadas, para estimativa do teor de massa seca (MS). A massa seca total (MST) </w:t>
      </w:r>
      <w:r>
        <w:drawing>
          <wp:anchor behindDoc="0" distT="0" distB="152400" distL="152400" distR="152400" simplePos="0" locked="0" layoutInCell="0" allowOverlap="1" relativeHeight="4">
            <wp:simplePos x="0" y="0"/>
            <wp:positionH relativeFrom="page">
              <wp:posOffset>11430</wp:posOffset>
            </wp:positionH>
            <wp:positionV relativeFrom="page">
              <wp:align>top</wp:align>
            </wp:positionV>
            <wp:extent cx="7556500" cy="1115060"/>
            <wp:effectExtent l="0" t="0" r="0" b="0"/>
            <wp:wrapTopAndBottom/>
            <wp:docPr id="2" name="Figura1" descr="Cabeçalho SBSS-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1" descr="Cabeçalho SBSS-02.jpg"/>
                    <pic:cNvPicPr>
                      <a:picLocks noChangeAspect="1" noChangeArrowheads="1"/>
                    </pic:cNvPicPr>
                  </pic:nvPicPr>
                  <pic:blipFill>
                    <a:blip r:embed="rId4"/>
                    <a:stretch>
                      <a:fillRect/>
                    </a:stretch>
                  </pic:blipFill>
                  <pic:spPr bwMode="auto">
                    <a:xfrm>
                      <a:off x="0" y="0"/>
                      <a:ext cx="7556500" cy="1115060"/>
                    </a:xfrm>
                    <a:prstGeom prst="rect">
                      <a:avLst/>
                    </a:prstGeom>
                  </pic:spPr>
                </pic:pic>
              </a:graphicData>
            </a:graphic>
          </wp:anchor>
        </w:drawing>
      </w:r>
      <w:r>
        <w:rPr>
          <w:rFonts w:eastAsia="Arial" w:cs="Arial" w:ascii="Arial" w:hAnsi="Arial"/>
          <w:b w:val="false"/>
          <w:i w:val="false"/>
          <w:caps w:val="false"/>
          <w:smallCaps w:val="false"/>
          <w:strike w:val="false"/>
          <w:dstrike w:val="false"/>
          <w:color w:val="00000A"/>
          <w:position w:val="0"/>
          <w:sz w:val="22"/>
          <w:sz w:val="22"/>
          <w:szCs w:val="22"/>
          <w:u w:val="none"/>
          <w:shd w:fill="auto" w:val="clear"/>
          <w:vertAlign w:val="baseline"/>
        </w:rPr>
        <w:t>foi obtida pela somatória de todos os cortes de cada ano express</w:t>
      </w:r>
      <w:r>
        <w:rPr>
          <w:rFonts w:eastAsia="Arial" w:cs="Arial" w:ascii="Arial" w:hAnsi="Arial"/>
          <w:color w:val="00000A"/>
          <w:sz w:val="22"/>
          <w:szCs w:val="22"/>
        </w:rPr>
        <w:t>a</w:t>
      </w:r>
      <w:r>
        <w:rPr>
          <w:rFonts w:eastAsia="Arial" w:cs="Arial" w:ascii="Arial" w:hAnsi="Arial"/>
          <w:b w:val="false"/>
          <w:i w:val="false"/>
          <w:caps w:val="false"/>
          <w:smallCaps w:val="false"/>
          <w:strike w:val="false"/>
          <w:dstrike w:val="false"/>
          <w:color w:val="00000A"/>
          <w:position w:val="0"/>
          <w:sz w:val="22"/>
          <w:sz w:val="22"/>
          <w:szCs w:val="22"/>
          <w:u w:val="none"/>
          <w:shd w:fill="auto" w:val="clear"/>
          <w:vertAlign w:val="baseline"/>
        </w:rPr>
        <w:t xml:space="preserve"> em kg.ha</w:t>
      </w:r>
      <w:r>
        <w:rPr>
          <w:rFonts w:eastAsia="Arial" w:cs="Arial" w:ascii="Arial" w:hAnsi="Arial"/>
          <w:b w:val="false"/>
          <w:i w:val="false"/>
          <w:caps w:val="false"/>
          <w:smallCaps w:val="false"/>
          <w:strike w:val="false"/>
          <w:dstrike w:val="false"/>
          <w:color w:val="00000A"/>
          <w:sz w:val="22"/>
          <w:szCs w:val="22"/>
          <w:u w:val="none"/>
          <w:shd w:fill="auto" w:val="clear"/>
          <w:vertAlign w:val="superscript"/>
        </w:rPr>
        <w:t>-1</w:t>
      </w:r>
      <w:r>
        <w:rPr>
          <w:rFonts w:eastAsia="Arial" w:cs="Arial" w:ascii="Arial" w:hAnsi="Arial"/>
          <w:b w:val="false"/>
          <w:i w:val="false"/>
          <w:caps w:val="false"/>
          <w:smallCaps w:val="false"/>
          <w:strike w:val="false"/>
          <w:dstrike w:val="false"/>
          <w:color w:val="00000A"/>
          <w:position w:val="0"/>
          <w:sz w:val="22"/>
          <w:sz w:val="22"/>
          <w:szCs w:val="22"/>
          <w:u w:val="none"/>
          <w:shd w:fill="auto" w:val="clear"/>
          <w:vertAlign w:val="baseline"/>
        </w:rPr>
        <w:t>. Os dados de MST foram submetidos à análise de normalidade e variância, considerando-se arranjo fatorial</w:t>
      </w:r>
      <w:r>
        <w:rPr>
          <w:rFonts w:eastAsia="Arial" w:cs="Arial" w:ascii="Arial" w:hAnsi="Arial"/>
          <w:color w:val="00000A"/>
          <w:sz w:val="22"/>
          <w:szCs w:val="22"/>
        </w:rPr>
        <w:t xml:space="preserve"> 7x2, sendo o primeiro fator os sete cultivares e o segundo fator, os dois anos de avaliação. Quando observadas diferenças nas médias, as mesmas</w:t>
      </w:r>
      <w:r>
        <w:rPr>
          <w:rFonts w:eastAsia="Arial" w:cs="Arial" w:ascii="Arial" w:hAnsi="Arial"/>
          <w:b w:val="false"/>
          <w:i w:val="false"/>
          <w:caps w:val="false"/>
          <w:smallCaps w:val="false"/>
          <w:strike w:val="false"/>
          <w:dstrike w:val="false"/>
          <w:color w:val="00000A"/>
          <w:position w:val="0"/>
          <w:sz w:val="22"/>
          <w:sz w:val="22"/>
          <w:szCs w:val="22"/>
          <w:u w:val="none"/>
          <w:shd w:fill="auto" w:val="clear"/>
          <w:vertAlign w:val="baseline"/>
        </w:rPr>
        <w:t xml:space="preserve"> foram comparadas pelo teste de Scott-Knott a 5% de probabilidade.</w:t>
      </w:r>
    </w:p>
    <w:p>
      <w:pPr>
        <w:pStyle w:val="LOnormal1"/>
        <w:keepNext w:val="false"/>
        <w:keepLines w:val="false"/>
        <w:pageBreakBefore w:val="false"/>
        <w:widowControl/>
        <w:shd w:val="clear" w:fill="auto"/>
        <w:spacing w:lineRule="auto" w:line="240" w:before="0" w:after="0"/>
        <w:ind w:left="0" w:right="0" w:hanging="0"/>
        <w:jc w:val="both"/>
        <w:rPr>
          <w:rFonts w:ascii="Arial" w:hAnsi="Arial" w:eastAsia="Arial" w:cs="Arial"/>
          <w:color w:val="00000A"/>
          <w:sz w:val="22"/>
          <w:szCs w:val="22"/>
        </w:rPr>
      </w:pPr>
      <w:r>
        <w:rPr>
          <w:rFonts w:eastAsia="Arial" w:cs="Arial" w:ascii="Arial" w:hAnsi="Arial"/>
          <w:color w:val="00000A"/>
          <w:sz w:val="22"/>
          <w:szCs w:val="22"/>
        </w:rPr>
      </w:r>
    </w:p>
    <w:p>
      <w:pPr>
        <w:pStyle w:val="LOnormal1"/>
        <w:keepNext w:val="false"/>
        <w:keepLines w:val="false"/>
        <w:pageBreakBefore w:val="false"/>
        <w:widowControl/>
        <w:shd w:val="clear" w:fill="auto"/>
        <w:spacing w:lineRule="auto" w:line="240" w:before="0" w:after="0"/>
        <w:ind w:left="0" w:right="0" w:hanging="0"/>
        <w:jc w:val="both"/>
        <w:rPr>
          <w:rFonts w:ascii="Arial" w:hAnsi="Arial" w:eastAsia="Arial" w:cs="Arial"/>
          <w:color w:val="FF0000"/>
          <w:sz w:val="22"/>
          <w:szCs w:val="22"/>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 xml:space="preserve">Resultados e discussões: </w:t>
      </w:r>
      <w:r>
        <w:rPr>
          <w:rFonts w:eastAsia="Arial" w:cs="Arial" w:ascii="Arial" w:hAnsi="Arial"/>
          <w:sz w:val="22"/>
          <w:szCs w:val="22"/>
          <w:highlight w:val="white"/>
        </w:rPr>
        <w:t xml:space="preserve">Houve efeito de tratamentos (P=0,0000) e de anos (P=0,0000), mas não foi observado interação entre os dois fatores (P=0,2056). Todos os cultivares foram mais produtivos em 2022, ano em que as condições climáticas se apresentaram de acordo com as médias da região, o que permitiu a realização de seis cortes para todos os cultivares, no período de junho a novembro. Por outro lado, no ano de 2021, em função do déficit hídrico nos meses de inverno, todos os cultivares encerraram o ciclo mais cedo, permitindo a realização de apenas cinco cortes de avaliação. Em ambos os anos o cv </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SCS316 CR Altovale foi o que apresentou maior desempenho, </w:t>
      </w:r>
      <w:r>
        <w:rPr>
          <w:rFonts w:eastAsia="Arial" w:cs="Arial" w:ascii="Arial" w:hAnsi="Arial"/>
          <w:sz w:val="22"/>
          <w:szCs w:val="22"/>
        </w:rPr>
        <w:t>ultrapassando, inclusive, 8t.ha</w:t>
      </w:r>
      <w:r>
        <w:rPr>
          <w:rFonts w:eastAsia="Arial" w:cs="Arial" w:ascii="Arial" w:hAnsi="Arial"/>
          <w:sz w:val="22"/>
          <w:szCs w:val="22"/>
          <w:vertAlign w:val="superscript"/>
        </w:rPr>
        <w:t>-1</w:t>
      </w:r>
      <w:r>
        <w:rPr>
          <w:rFonts w:eastAsia="Arial" w:cs="Arial" w:ascii="Arial" w:hAnsi="Arial"/>
          <w:sz w:val="22"/>
          <w:szCs w:val="22"/>
        </w:rPr>
        <w:t xml:space="preserve"> de massa seca, na somatória dos seis cortes em 2022</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 </w:t>
      </w:r>
      <w:r>
        <w:rPr>
          <w:rFonts w:eastAsia="Arial" w:cs="Arial" w:ascii="Arial" w:hAnsi="Arial"/>
          <w:sz w:val="22"/>
          <w:szCs w:val="22"/>
          <w:vertAlign w:val="superscript"/>
        </w:rPr>
        <w:t xml:space="preserve"> </w:t>
      </w:r>
      <w:r>
        <w:rPr>
          <w:rFonts w:eastAsia="Arial" w:cs="Arial" w:ascii="Arial" w:hAnsi="Arial"/>
          <w:sz w:val="22"/>
          <w:szCs w:val="22"/>
        </w:rPr>
        <w:t xml:space="preserve">(Tabela 1). </w:t>
      </w:r>
    </w:p>
    <w:p>
      <w:pPr>
        <w:pStyle w:val="LOnormal1"/>
        <w:keepNext w:val="false"/>
        <w:keepLines w:val="false"/>
        <w:pageBreakBefore w:val="false"/>
        <w:widowControl/>
        <w:shd w:val="clear" w:fill="auto"/>
        <w:spacing w:lineRule="auto" w:line="240" w:before="0" w:after="0"/>
        <w:ind w:left="0" w:right="0" w:hanging="0"/>
        <w:jc w:val="both"/>
        <w:rPr>
          <w:rFonts w:ascii="Arial" w:hAnsi="Arial" w:eastAsia="Arial" w:cs="Arial"/>
          <w:color w:val="FF0000"/>
          <w:sz w:val="22"/>
          <w:szCs w:val="22"/>
        </w:rPr>
      </w:pPr>
      <w:r>
        <w:rPr>
          <w:rFonts w:eastAsia="Arial" w:cs="Arial" w:ascii="Arial" w:hAnsi="Arial"/>
          <w:color w:val="FF0000"/>
          <w:sz w:val="22"/>
          <w:szCs w:val="22"/>
        </w:rPr>
      </w:r>
    </w:p>
    <w:p>
      <w:pPr>
        <w:pStyle w:val="LOnormal1"/>
        <w:spacing w:lineRule="auto" w:line="276" w:before="0" w:after="120"/>
        <w:jc w:val="both"/>
        <w:rPr>
          <w:rFonts w:ascii="Arial" w:hAnsi="Arial" w:eastAsia="Arial" w:cs="Arial"/>
          <w:color w:val="FF0000"/>
        </w:rPr>
      </w:pPr>
      <w:r>
        <w:rPr>
          <w:rFonts w:eastAsia="Arial" w:cs="Arial" w:ascii="Arial" w:hAnsi="Arial"/>
          <w:b/>
          <w:sz w:val="22"/>
          <w:szCs w:val="22"/>
        </w:rPr>
        <w:t>Tabela 1. Produção de massa seca</w:t>
      </w:r>
      <w:r>
        <w:rPr>
          <w:rFonts w:eastAsia="Arial" w:cs="Arial" w:ascii="Arial" w:hAnsi="Arial"/>
          <w:color w:val="00000A"/>
          <w:sz w:val="26"/>
          <w:szCs w:val="26"/>
        </w:rPr>
        <w:t xml:space="preserve"> </w:t>
      </w:r>
      <w:r>
        <w:rPr>
          <w:rFonts w:eastAsia="Arial" w:cs="Arial" w:ascii="Arial" w:hAnsi="Arial"/>
          <w:b/>
          <w:color w:val="00000A"/>
          <w:sz w:val="22"/>
          <w:szCs w:val="22"/>
        </w:rPr>
        <w:t>total (</w:t>
      </w:r>
      <w:r>
        <w:rPr>
          <w:rFonts w:eastAsia="Arial" w:cs="Arial" w:ascii="Arial" w:hAnsi="Arial"/>
          <w:b/>
          <w:sz w:val="22"/>
          <w:szCs w:val="22"/>
        </w:rPr>
        <w:t>kg.ha</w:t>
      </w:r>
      <w:r>
        <w:rPr>
          <w:rFonts w:eastAsia="Arial" w:cs="Arial" w:ascii="Arial" w:hAnsi="Arial"/>
          <w:b/>
          <w:sz w:val="22"/>
          <w:szCs w:val="22"/>
          <w:vertAlign w:val="superscript"/>
        </w:rPr>
        <w:t>-1</w:t>
      </w:r>
      <w:r>
        <w:rPr>
          <w:rFonts w:eastAsia="Arial" w:cs="Arial" w:ascii="Arial" w:hAnsi="Arial"/>
          <w:b/>
          <w:sz w:val="22"/>
          <w:szCs w:val="22"/>
        </w:rPr>
        <w:t>)</w:t>
      </w:r>
      <w:r>
        <w:rPr>
          <w:rFonts w:eastAsia="Arial" w:cs="Arial" w:ascii="Arial" w:hAnsi="Arial"/>
          <w:b/>
          <w:color w:val="00000A"/>
          <w:sz w:val="22"/>
          <w:szCs w:val="22"/>
        </w:rPr>
        <w:t xml:space="preserve"> de cultivares de azevém anual e número de cortes durante o ciclo (entre parênteses) em dois anos de cultivo na região do Planalto Norte Catarinense.</w:t>
      </w:r>
    </w:p>
    <w:tbl>
      <w:tblPr>
        <w:tblStyle w:val="Table1"/>
        <w:tblW w:w="8929" w:type="dxa"/>
        <w:jc w:val="left"/>
        <w:tblInd w:w="0" w:type="dxa"/>
        <w:tblLayout w:type="fixed"/>
        <w:tblCellMar>
          <w:top w:w="0" w:type="dxa"/>
          <w:left w:w="108" w:type="dxa"/>
          <w:bottom w:w="0" w:type="dxa"/>
          <w:right w:w="108" w:type="dxa"/>
        </w:tblCellMar>
        <w:tblLook w:val="0400"/>
      </w:tblPr>
      <w:tblGrid>
        <w:gridCol w:w="4978"/>
        <w:gridCol w:w="1258"/>
        <w:gridCol w:w="1258"/>
        <w:gridCol w:w="1434"/>
      </w:tblGrid>
      <w:tr>
        <w:trPr>
          <w:trHeight w:val="-7" w:hRule="atLeast"/>
        </w:trPr>
        <w:tc>
          <w:tcPr>
            <w:tcW w:w="4978" w:type="dxa"/>
            <w:vMerge w:val="restart"/>
            <w:tcBorders>
              <w:top w:val="single" w:sz="4" w:space="0" w:color="000000"/>
            </w:tcBorders>
            <w:shd w:fill="auto" w:val="clear"/>
            <w:vAlign w:val="center"/>
          </w:tcPr>
          <w:p>
            <w:pPr>
              <w:pStyle w:val="LOnormal1"/>
              <w:widowControl w:val="false"/>
              <w:jc w:val="center"/>
              <w:rPr>
                <w:rFonts w:ascii="Arial" w:hAnsi="Arial" w:eastAsia="Arial" w:cs="Arial"/>
                <w:sz w:val="22"/>
                <w:szCs w:val="22"/>
              </w:rPr>
            </w:pPr>
            <w:r>
              <w:rPr>
                <w:rFonts w:eastAsia="Arial" w:cs="Arial" w:ascii="Arial" w:hAnsi="Arial"/>
                <w:sz w:val="22"/>
                <w:szCs w:val="22"/>
              </w:rPr>
              <w:t>Cultivares</w:t>
            </w:r>
          </w:p>
        </w:tc>
        <w:tc>
          <w:tcPr>
            <w:tcW w:w="3950" w:type="dxa"/>
            <w:gridSpan w:val="3"/>
            <w:tcBorders>
              <w:top w:val="single" w:sz="4" w:space="0" w:color="000000"/>
              <w:bottom w:val="single" w:sz="4" w:space="0" w:color="000000"/>
            </w:tcBorders>
            <w:shd w:fill="auto" w:val="clear"/>
            <w:vAlign w:val="center"/>
          </w:tcPr>
          <w:p>
            <w:pPr>
              <w:pStyle w:val="LOnormal1"/>
              <w:widowControl w:val="false"/>
              <w:jc w:val="center"/>
              <w:rPr>
                <w:rFonts w:ascii="Arial" w:hAnsi="Arial" w:eastAsia="Arial" w:cs="Arial"/>
                <w:sz w:val="22"/>
                <w:szCs w:val="22"/>
              </w:rPr>
            </w:pPr>
            <w:r>
              <w:rPr>
                <w:rFonts w:eastAsia="Arial" w:cs="Arial" w:ascii="Arial" w:hAnsi="Arial"/>
                <w:sz w:val="22"/>
                <w:szCs w:val="22"/>
              </w:rPr>
              <w:t>Ano de cultivo</w:t>
            </w:r>
          </w:p>
        </w:tc>
      </w:tr>
      <w:tr>
        <w:trPr>
          <w:trHeight w:val="-7" w:hRule="atLeast"/>
        </w:trPr>
        <w:tc>
          <w:tcPr>
            <w:tcW w:w="4978" w:type="dxa"/>
            <w:vMerge w:val="continue"/>
            <w:tcBorders>
              <w:top w:val="single" w:sz="4" w:space="0" w:color="000000"/>
            </w:tcBorders>
            <w:shd w:fill="auto" w:val="clear"/>
            <w:vAlign w:val="center"/>
          </w:tcPr>
          <w:p>
            <w:pPr>
              <w:pStyle w:val="LOnormal1"/>
              <w:widowControl w:val="false"/>
              <w:spacing w:lineRule="auto" w:line="276"/>
              <w:rPr>
                <w:rFonts w:ascii="Arial" w:hAnsi="Arial" w:eastAsia="Arial" w:cs="Arial"/>
                <w:sz w:val="20"/>
                <w:szCs w:val="20"/>
              </w:rPr>
            </w:pPr>
            <w:r>
              <w:rPr>
                <w:rFonts w:eastAsia="Arial" w:cs="Arial" w:ascii="Arial" w:hAnsi="Arial"/>
                <w:sz w:val="20"/>
                <w:szCs w:val="20"/>
              </w:rPr>
            </w:r>
          </w:p>
        </w:tc>
        <w:tc>
          <w:tcPr>
            <w:tcW w:w="1258" w:type="dxa"/>
            <w:tcBorders>
              <w:top w:val="single" w:sz="4" w:space="0" w:color="000000"/>
              <w:bottom w:val="single" w:sz="4" w:space="0" w:color="000000"/>
            </w:tcBorders>
            <w:shd w:fill="auto" w:val="clear"/>
            <w:vAlign w:val="center"/>
          </w:tcPr>
          <w:p>
            <w:pPr>
              <w:pStyle w:val="LOnormal1"/>
              <w:widowControl w:val="false"/>
              <w:jc w:val="center"/>
              <w:rPr>
                <w:rFonts w:ascii="Arial" w:hAnsi="Arial" w:eastAsia="Arial" w:cs="Arial"/>
                <w:sz w:val="22"/>
                <w:szCs w:val="22"/>
              </w:rPr>
            </w:pPr>
            <w:r>
              <w:rPr>
                <w:rFonts w:eastAsia="Arial" w:cs="Arial" w:ascii="Arial" w:hAnsi="Arial"/>
                <w:sz w:val="22"/>
                <w:szCs w:val="22"/>
              </w:rPr>
              <w:t>2021</w:t>
            </w:r>
          </w:p>
        </w:tc>
        <w:tc>
          <w:tcPr>
            <w:tcW w:w="1258" w:type="dxa"/>
            <w:tcBorders>
              <w:top w:val="single" w:sz="4" w:space="0" w:color="000000"/>
              <w:bottom w:val="single" w:sz="4" w:space="0" w:color="000000"/>
            </w:tcBorders>
            <w:shd w:fill="auto" w:val="clear"/>
            <w:vAlign w:val="center"/>
          </w:tcPr>
          <w:p>
            <w:pPr>
              <w:pStyle w:val="LOnormal1"/>
              <w:widowControl w:val="false"/>
              <w:jc w:val="center"/>
              <w:rPr>
                <w:rFonts w:ascii="Arial" w:hAnsi="Arial" w:eastAsia="Arial" w:cs="Arial"/>
                <w:sz w:val="22"/>
                <w:szCs w:val="22"/>
              </w:rPr>
            </w:pPr>
            <w:r>
              <w:rPr>
                <w:rFonts w:eastAsia="Arial" w:cs="Arial" w:ascii="Arial" w:hAnsi="Arial"/>
                <w:sz w:val="22"/>
                <w:szCs w:val="22"/>
              </w:rPr>
              <w:t>2022</w:t>
            </w:r>
          </w:p>
        </w:tc>
        <w:tc>
          <w:tcPr>
            <w:tcW w:w="1434" w:type="dxa"/>
            <w:tcBorders>
              <w:top w:val="single" w:sz="4" w:space="0" w:color="000000"/>
              <w:bottom w:val="single" w:sz="4" w:space="0" w:color="000000"/>
            </w:tcBorders>
            <w:shd w:fill="auto" w:val="clear"/>
            <w:vAlign w:val="center"/>
          </w:tcPr>
          <w:p>
            <w:pPr>
              <w:pStyle w:val="LOnormal1"/>
              <w:widowControl w:val="false"/>
              <w:jc w:val="center"/>
              <w:rPr>
                <w:rFonts w:ascii="Arial" w:hAnsi="Arial" w:eastAsia="Arial" w:cs="Arial"/>
                <w:sz w:val="22"/>
                <w:szCs w:val="22"/>
              </w:rPr>
            </w:pPr>
            <w:r>
              <w:rPr>
                <w:rFonts w:eastAsia="Arial" w:cs="Arial" w:ascii="Arial" w:hAnsi="Arial"/>
                <w:sz w:val="22"/>
                <w:szCs w:val="22"/>
              </w:rPr>
              <w:t>Média</w:t>
            </w:r>
          </w:p>
        </w:tc>
      </w:tr>
      <w:tr>
        <w:trPr>
          <w:trHeight w:val="-7" w:hRule="atLeast"/>
        </w:trPr>
        <w:tc>
          <w:tcPr>
            <w:tcW w:w="4978" w:type="dxa"/>
            <w:tcBorders>
              <w:top w:val="single" w:sz="4" w:space="0" w:color="000000"/>
            </w:tcBorders>
            <w:shd w:fill="auto" w:val="clear"/>
            <w:vAlign w:val="bottom"/>
          </w:tcPr>
          <w:p>
            <w:pPr>
              <w:pStyle w:val="LOnormal1"/>
              <w:widowControl w:val="false"/>
              <w:rPr>
                <w:rFonts w:ascii="Arial" w:hAnsi="Arial" w:eastAsia="Arial" w:cs="Arial"/>
                <w:sz w:val="22"/>
                <w:szCs w:val="22"/>
              </w:rPr>
            </w:pPr>
            <w:r>
              <w:rPr>
                <w:rFonts w:eastAsia="Arial" w:cs="Arial" w:ascii="Arial" w:hAnsi="Arial"/>
                <w:sz w:val="22"/>
                <w:szCs w:val="22"/>
              </w:rPr>
              <w:t>1. Azevém anual cv. Empasc 304 - Serrana</w:t>
            </w:r>
          </w:p>
        </w:tc>
        <w:tc>
          <w:tcPr>
            <w:tcW w:w="1258" w:type="dxa"/>
            <w:tcBorders>
              <w:top w:val="single" w:sz="4" w:space="0" w:color="000000"/>
            </w:tcBorders>
            <w:shd w:fill="auto" w:val="clear"/>
            <w:vAlign w:val="bottom"/>
          </w:tcPr>
          <w:p>
            <w:pPr>
              <w:pStyle w:val="LOnormal1"/>
              <w:widowControl w:val="false"/>
              <w:jc w:val="center"/>
              <w:rPr>
                <w:rFonts w:ascii="Arial" w:hAnsi="Arial" w:eastAsia="Arial" w:cs="Arial"/>
                <w:sz w:val="22"/>
                <w:szCs w:val="22"/>
              </w:rPr>
            </w:pPr>
            <w:r>
              <w:rPr>
                <w:rFonts w:eastAsia="Arial" w:cs="Arial" w:ascii="Arial" w:hAnsi="Arial"/>
                <w:sz w:val="22"/>
                <w:szCs w:val="22"/>
              </w:rPr>
              <w:t>5816 (5)</w:t>
            </w:r>
          </w:p>
        </w:tc>
        <w:tc>
          <w:tcPr>
            <w:tcW w:w="1258" w:type="dxa"/>
            <w:tcBorders>
              <w:top w:val="single" w:sz="4" w:space="0" w:color="000000"/>
            </w:tcBorders>
            <w:shd w:fill="auto" w:val="clear"/>
            <w:vAlign w:val="bottom"/>
          </w:tcPr>
          <w:p>
            <w:pPr>
              <w:pStyle w:val="LOnormal1"/>
              <w:widowControl w:val="false"/>
              <w:jc w:val="center"/>
              <w:rPr>
                <w:rFonts w:ascii="Arial" w:hAnsi="Arial" w:eastAsia="Arial" w:cs="Arial"/>
                <w:sz w:val="22"/>
                <w:szCs w:val="22"/>
              </w:rPr>
            </w:pPr>
            <w:r>
              <w:rPr>
                <w:rFonts w:eastAsia="Arial" w:cs="Arial" w:ascii="Arial" w:hAnsi="Arial"/>
                <w:sz w:val="22"/>
                <w:szCs w:val="22"/>
              </w:rPr>
              <w:t>7594 (6)</w:t>
            </w:r>
          </w:p>
        </w:tc>
        <w:tc>
          <w:tcPr>
            <w:tcW w:w="1434" w:type="dxa"/>
            <w:tcBorders>
              <w:top w:val="single" w:sz="4" w:space="0" w:color="000000"/>
            </w:tcBorders>
            <w:shd w:fill="auto" w:val="clear"/>
            <w:vAlign w:val="bottom"/>
          </w:tcPr>
          <w:p>
            <w:pPr>
              <w:pStyle w:val="LOnormal1"/>
              <w:widowControl w:val="false"/>
              <w:jc w:val="center"/>
              <w:rPr>
                <w:rFonts w:ascii="Arial" w:hAnsi="Arial" w:eastAsia="Arial" w:cs="Arial"/>
                <w:sz w:val="22"/>
                <w:szCs w:val="22"/>
              </w:rPr>
            </w:pPr>
            <w:r>
              <w:rPr>
                <w:rFonts w:eastAsia="Arial" w:cs="Arial" w:ascii="Arial" w:hAnsi="Arial"/>
                <w:sz w:val="22"/>
                <w:szCs w:val="22"/>
              </w:rPr>
              <w:t>6705 b</w:t>
            </w:r>
          </w:p>
        </w:tc>
      </w:tr>
      <w:tr>
        <w:trPr>
          <w:trHeight w:val="-6" w:hRule="atLeast"/>
        </w:trPr>
        <w:tc>
          <w:tcPr>
            <w:tcW w:w="4978" w:type="dxa"/>
            <w:tcBorders/>
            <w:shd w:fill="auto" w:val="clear"/>
            <w:vAlign w:val="bottom"/>
          </w:tcPr>
          <w:p>
            <w:pPr>
              <w:pStyle w:val="LOnormal1"/>
              <w:widowControl w:val="false"/>
              <w:rPr>
                <w:rFonts w:ascii="Arial" w:hAnsi="Arial" w:eastAsia="Arial" w:cs="Arial"/>
                <w:sz w:val="22"/>
                <w:szCs w:val="22"/>
              </w:rPr>
            </w:pPr>
            <w:r>
              <w:rPr>
                <w:rFonts w:eastAsia="Arial" w:cs="Arial" w:ascii="Arial" w:hAnsi="Arial"/>
                <w:sz w:val="22"/>
                <w:szCs w:val="22"/>
              </w:rPr>
              <w:t>2. Azevém anual cv. SCS 316 CR Altovale</w:t>
            </w:r>
          </w:p>
        </w:tc>
        <w:tc>
          <w:tcPr>
            <w:tcW w:w="1258" w:type="dxa"/>
            <w:tcBorders/>
            <w:shd w:fill="auto" w:val="clear"/>
            <w:vAlign w:val="bottom"/>
          </w:tcPr>
          <w:p>
            <w:pPr>
              <w:pStyle w:val="LOnormal1"/>
              <w:widowControl w:val="false"/>
              <w:jc w:val="center"/>
              <w:rPr>
                <w:rFonts w:ascii="Arial" w:hAnsi="Arial" w:eastAsia="Arial" w:cs="Arial"/>
                <w:sz w:val="22"/>
                <w:szCs w:val="22"/>
              </w:rPr>
            </w:pPr>
            <w:r>
              <w:rPr>
                <w:rFonts w:eastAsia="Arial" w:cs="Arial" w:ascii="Arial" w:hAnsi="Arial"/>
                <w:sz w:val="22"/>
                <w:szCs w:val="22"/>
              </w:rPr>
              <w:t>6487 (5)</w:t>
            </w:r>
          </w:p>
        </w:tc>
        <w:tc>
          <w:tcPr>
            <w:tcW w:w="1258" w:type="dxa"/>
            <w:tcBorders/>
            <w:shd w:fill="auto" w:val="clear"/>
            <w:vAlign w:val="bottom"/>
          </w:tcPr>
          <w:p>
            <w:pPr>
              <w:pStyle w:val="LOnormal1"/>
              <w:widowControl w:val="false"/>
              <w:jc w:val="center"/>
              <w:rPr>
                <w:rFonts w:ascii="Arial" w:hAnsi="Arial" w:eastAsia="Arial" w:cs="Arial"/>
                <w:sz w:val="22"/>
                <w:szCs w:val="22"/>
              </w:rPr>
            </w:pPr>
            <w:r>
              <w:rPr>
                <w:rFonts w:eastAsia="Arial" w:cs="Arial" w:ascii="Arial" w:hAnsi="Arial"/>
                <w:sz w:val="22"/>
                <w:szCs w:val="22"/>
              </w:rPr>
              <w:t>8146 (6)</w:t>
            </w:r>
          </w:p>
        </w:tc>
        <w:tc>
          <w:tcPr>
            <w:tcW w:w="1434" w:type="dxa"/>
            <w:tcBorders/>
            <w:shd w:fill="auto" w:val="clear"/>
            <w:vAlign w:val="bottom"/>
          </w:tcPr>
          <w:p>
            <w:pPr>
              <w:pStyle w:val="LOnormal1"/>
              <w:widowControl w:val="false"/>
              <w:jc w:val="center"/>
              <w:rPr>
                <w:rFonts w:ascii="Arial" w:hAnsi="Arial" w:eastAsia="Arial" w:cs="Arial"/>
                <w:sz w:val="22"/>
                <w:szCs w:val="22"/>
              </w:rPr>
            </w:pPr>
            <w:r>
              <w:rPr>
                <w:rFonts w:eastAsia="Arial" w:cs="Arial" w:ascii="Arial" w:hAnsi="Arial"/>
                <w:sz w:val="22"/>
                <w:szCs w:val="22"/>
              </w:rPr>
              <w:t>7316 a</w:t>
            </w:r>
          </w:p>
        </w:tc>
      </w:tr>
      <w:tr>
        <w:trPr>
          <w:trHeight w:val="-7" w:hRule="atLeast"/>
        </w:trPr>
        <w:tc>
          <w:tcPr>
            <w:tcW w:w="4978" w:type="dxa"/>
            <w:tcBorders/>
            <w:shd w:fill="auto" w:val="clear"/>
            <w:vAlign w:val="bottom"/>
          </w:tcPr>
          <w:p>
            <w:pPr>
              <w:pStyle w:val="LOnormal1"/>
              <w:widowControl w:val="false"/>
              <w:rPr>
                <w:rFonts w:ascii="Arial" w:hAnsi="Arial" w:eastAsia="Arial" w:cs="Arial"/>
                <w:sz w:val="22"/>
                <w:szCs w:val="22"/>
              </w:rPr>
            </w:pPr>
            <w:r>
              <w:rPr>
                <w:rFonts w:eastAsia="Arial" w:cs="Arial" w:ascii="Arial" w:hAnsi="Arial"/>
                <w:sz w:val="22"/>
                <w:szCs w:val="22"/>
              </w:rPr>
              <w:t>3. Azevém anual cv. SCS317 Centenário</w:t>
            </w:r>
          </w:p>
        </w:tc>
        <w:tc>
          <w:tcPr>
            <w:tcW w:w="1258" w:type="dxa"/>
            <w:tcBorders/>
            <w:shd w:fill="auto" w:val="clear"/>
            <w:vAlign w:val="bottom"/>
          </w:tcPr>
          <w:p>
            <w:pPr>
              <w:pStyle w:val="LOnormal1"/>
              <w:widowControl w:val="false"/>
              <w:jc w:val="center"/>
              <w:rPr>
                <w:rFonts w:ascii="Arial" w:hAnsi="Arial" w:eastAsia="Arial" w:cs="Arial"/>
                <w:sz w:val="22"/>
                <w:szCs w:val="22"/>
              </w:rPr>
            </w:pPr>
            <w:r>
              <w:rPr>
                <w:rFonts w:eastAsia="Arial" w:cs="Arial" w:ascii="Arial" w:hAnsi="Arial"/>
                <w:sz w:val="22"/>
                <w:szCs w:val="22"/>
              </w:rPr>
              <w:t>5792 (5)</w:t>
            </w:r>
          </w:p>
        </w:tc>
        <w:tc>
          <w:tcPr>
            <w:tcW w:w="1258" w:type="dxa"/>
            <w:tcBorders/>
            <w:shd w:fill="auto" w:val="clear"/>
            <w:vAlign w:val="bottom"/>
          </w:tcPr>
          <w:p>
            <w:pPr>
              <w:pStyle w:val="LOnormal1"/>
              <w:widowControl w:val="false"/>
              <w:jc w:val="center"/>
              <w:rPr>
                <w:rFonts w:ascii="Arial" w:hAnsi="Arial" w:eastAsia="Arial" w:cs="Arial"/>
                <w:sz w:val="22"/>
                <w:szCs w:val="22"/>
              </w:rPr>
            </w:pPr>
            <w:r>
              <w:rPr>
                <w:rFonts w:eastAsia="Arial" w:cs="Arial" w:ascii="Arial" w:hAnsi="Arial"/>
                <w:sz w:val="22"/>
                <w:szCs w:val="22"/>
              </w:rPr>
              <w:t>7720 (6)</w:t>
            </w:r>
          </w:p>
        </w:tc>
        <w:tc>
          <w:tcPr>
            <w:tcW w:w="1434" w:type="dxa"/>
            <w:tcBorders/>
            <w:shd w:fill="auto" w:val="clear"/>
            <w:vAlign w:val="bottom"/>
          </w:tcPr>
          <w:p>
            <w:pPr>
              <w:pStyle w:val="LOnormal1"/>
              <w:widowControl w:val="false"/>
              <w:jc w:val="center"/>
              <w:rPr>
                <w:rFonts w:ascii="Arial" w:hAnsi="Arial" w:eastAsia="Arial" w:cs="Arial"/>
                <w:sz w:val="22"/>
                <w:szCs w:val="22"/>
              </w:rPr>
            </w:pPr>
            <w:r>
              <w:rPr>
                <w:rFonts w:eastAsia="Arial" w:cs="Arial" w:ascii="Arial" w:hAnsi="Arial"/>
                <w:sz w:val="22"/>
                <w:szCs w:val="22"/>
              </w:rPr>
              <w:t>6756 b</w:t>
            </w:r>
          </w:p>
        </w:tc>
      </w:tr>
      <w:tr>
        <w:trPr>
          <w:trHeight w:val="-7" w:hRule="atLeast"/>
        </w:trPr>
        <w:tc>
          <w:tcPr>
            <w:tcW w:w="4978" w:type="dxa"/>
            <w:tcBorders/>
            <w:shd w:fill="auto" w:val="clear"/>
            <w:vAlign w:val="bottom"/>
          </w:tcPr>
          <w:p>
            <w:pPr>
              <w:pStyle w:val="LOnormal1"/>
              <w:widowControl w:val="false"/>
              <w:rPr>
                <w:rFonts w:ascii="Arial" w:hAnsi="Arial" w:eastAsia="Arial" w:cs="Arial"/>
                <w:sz w:val="22"/>
                <w:szCs w:val="22"/>
              </w:rPr>
            </w:pPr>
            <w:r>
              <w:rPr>
                <w:rFonts w:eastAsia="Arial" w:cs="Arial" w:ascii="Arial" w:hAnsi="Arial"/>
                <w:sz w:val="22"/>
                <w:szCs w:val="22"/>
              </w:rPr>
              <w:t>4. Azevém anual cv. BRS Estações</w:t>
            </w:r>
          </w:p>
        </w:tc>
        <w:tc>
          <w:tcPr>
            <w:tcW w:w="1258" w:type="dxa"/>
            <w:tcBorders/>
            <w:shd w:fill="auto" w:val="clear"/>
            <w:vAlign w:val="bottom"/>
          </w:tcPr>
          <w:p>
            <w:pPr>
              <w:pStyle w:val="LOnormal1"/>
              <w:widowControl w:val="false"/>
              <w:jc w:val="center"/>
              <w:rPr>
                <w:rFonts w:ascii="Arial" w:hAnsi="Arial" w:eastAsia="Arial" w:cs="Arial"/>
                <w:sz w:val="22"/>
                <w:szCs w:val="22"/>
              </w:rPr>
            </w:pPr>
            <w:r>
              <w:rPr>
                <w:rFonts w:eastAsia="Arial" w:cs="Arial" w:ascii="Arial" w:hAnsi="Arial"/>
                <w:sz w:val="22"/>
                <w:szCs w:val="22"/>
              </w:rPr>
              <w:t>5495 (5)</w:t>
            </w:r>
          </w:p>
        </w:tc>
        <w:tc>
          <w:tcPr>
            <w:tcW w:w="1258" w:type="dxa"/>
            <w:tcBorders/>
            <w:shd w:fill="auto" w:val="clear"/>
            <w:vAlign w:val="bottom"/>
          </w:tcPr>
          <w:p>
            <w:pPr>
              <w:pStyle w:val="LOnormal1"/>
              <w:widowControl w:val="false"/>
              <w:jc w:val="center"/>
              <w:rPr>
                <w:rFonts w:ascii="Arial" w:hAnsi="Arial" w:eastAsia="Arial" w:cs="Arial"/>
                <w:sz w:val="22"/>
                <w:szCs w:val="22"/>
              </w:rPr>
            </w:pPr>
            <w:r>
              <w:rPr>
                <w:rFonts w:eastAsia="Arial" w:cs="Arial" w:ascii="Arial" w:hAnsi="Arial"/>
                <w:sz w:val="22"/>
                <w:szCs w:val="22"/>
              </w:rPr>
              <w:t>7571 (6)</w:t>
            </w:r>
          </w:p>
        </w:tc>
        <w:tc>
          <w:tcPr>
            <w:tcW w:w="1434" w:type="dxa"/>
            <w:tcBorders/>
            <w:shd w:fill="auto" w:val="clear"/>
            <w:vAlign w:val="bottom"/>
          </w:tcPr>
          <w:p>
            <w:pPr>
              <w:pStyle w:val="LOnormal1"/>
              <w:widowControl w:val="false"/>
              <w:jc w:val="center"/>
              <w:rPr>
                <w:rFonts w:ascii="Arial" w:hAnsi="Arial" w:eastAsia="Arial" w:cs="Arial"/>
                <w:sz w:val="22"/>
                <w:szCs w:val="22"/>
              </w:rPr>
            </w:pPr>
            <w:r>
              <w:rPr>
                <w:rFonts w:eastAsia="Arial" w:cs="Arial" w:ascii="Arial" w:hAnsi="Arial"/>
                <w:sz w:val="22"/>
                <w:szCs w:val="22"/>
              </w:rPr>
              <w:t>6533 c</w:t>
            </w:r>
          </w:p>
        </w:tc>
      </w:tr>
      <w:tr>
        <w:trPr>
          <w:trHeight w:val="-7" w:hRule="atLeast"/>
        </w:trPr>
        <w:tc>
          <w:tcPr>
            <w:tcW w:w="4978" w:type="dxa"/>
            <w:tcBorders/>
            <w:shd w:fill="auto" w:val="clear"/>
            <w:vAlign w:val="bottom"/>
          </w:tcPr>
          <w:p>
            <w:pPr>
              <w:pStyle w:val="LOnormal1"/>
              <w:widowControl w:val="false"/>
              <w:rPr>
                <w:rFonts w:ascii="Arial" w:hAnsi="Arial" w:eastAsia="Arial" w:cs="Arial"/>
                <w:sz w:val="22"/>
                <w:szCs w:val="22"/>
              </w:rPr>
            </w:pPr>
            <w:r>
              <w:rPr>
                <w:rFonts w:eastAsia="Arial" w:cs="Arial" w:ascii="Arial" w:hAnsi="Arial"/>
                <w:sz w:val="22"/>
                <w:szCs w:val="22"/>
              </w:rPr>
              <w:t>5. Azevém anual cv. BRS Integração</w:t>
            </w:r>
          </w:p>
        </w:tc>
        <w:tc>
          <w:tcPr>
            <w:tcW w:w="1258" w:type="dxa"/>
            <w:tcBorders/>
            <w:shd w:fill="auto" w:val="clear"/>
            <w:vAlign w:val="bottom"/>
          </w:tcPr>
          <w:p>
            <w:pPr>
              <w:pStyle w:val="LOnormal1"/>
              <w:widowControl w:val="false"/>
              <w:jc w:val="center"/>
              <w:rPr>
                <w:rFonts w:ascii="Arial" w:hAnsi="Arial" w:eastAsia="Arial" w:cs="Arial"/>
                <w:sz w:val="22"/>
                <w:szCs w:val="22"/>
              </w:rPr>
            </w:pPr>
            <w:r>
              <w:rPr>
                <w:rFonts w:eastAsia="Arial" w:cs="Arial" w:ascii="Arial" w:hAnsi="Arial"/>
                <w:sz w:val="22"/>
                <w:szCs w:val="22"/>
              </w:rPr>
              <w:t>5286 (5)</w:t>
            </w:r>
          </w:p>
        </w:tc>
        <w:tc>
          <w:tcPr>
            <w:tcW w:w="1258" w:type="dxa"/>
            <w:tcBorders/>
            <w:shd w:fill="auto" w:val="clear"/>
            <w:vAlign w:val="bottom"/>
          </w:tcPr>
          <w:p>
            <w:pPr>
              <w:pStyle w:val="LOnormal1"/>
              <w:widowControl w:val="false"/>
              <w:jc w:val="center"/>
              <w:rPr>
                <w:rFonts w:ascii="Arial" w:hAnsi="Arial" w:eastAsia="Arial" w:cs="Arial"/>
                <w:sz w:val="22"/>
                <w:szCs w:val="22"/>
              </w:rPr>
            </w:pPr>
            <w:r>
              <w:rPr>
                <w:rFonts w:eastAsia="Arial" w:cs="Arial" w:ascii="Arial" w:hAnsi="Arial"/>
                <w:sz w:val="22"/>
                <w:szCs w:val="22"/>
              </w:rPr>
              <w:t>7268 (6)</w:t>
            </w:r>
          </w:p>
        </w:tc>
        <w:tc>
          <w:tcPr>
            <w:tcW w:w="1434" w:type="dxa"/>
            <w:tcBorders/>
            <w:shd w:fill="auto" w:val="clear"/>
            <w:vAlign w:val="bottom"/>
          </w:tcPr>
          <w:p>
            <w:pPr>
              <w:pStyle w:val="LOnormal1"/>
              <w:widowControl w:val="false"/>
              <w:jc w:val="center"/>
              <w:rPr>
                <w:rFonts w:ascii="Arial" w:hAnsi="Arial" w:eastAsia="Arial" w:cs="Arial"/>
                <w:sz w:val="22"/>
                <w:szCs w:val="22"/>
              </w:rPr>
            </w:pPr>
            <w:r>
              <w:rPr>
                <w:rFonts w:eastAsia="Arial" w:cs="Arial" w:ascii="Arial" w:hAnsi="Arial"/>
                <w:sz w:val="22"/>
                <w:szCs w:val="22"/>
              </w:rPr>
              <w:t>6277 c</w:t>
            </w:r>
          </w:p>
        </w:tc>
      </w:tr>
      <w:tr>
        <w:trPr>
          <w:trHeight w:val="-7" w:hRule="atLeast"/>
        </w:trPr>
        <w:tc>
          <w:tcPr>
            <w:tcW w:w="4978" w:type="dxa"/>
            <w:tcBorders/>
            <w:shd w:fill="auto" w:val="clear"/>
            <w:vAlign w:val="bottom"/>
          </w:tcPr>
          <w:p>
            <w:pPr>
              <w:pStyle w:val="LOnormal1"/>
              <w:widowControl w:val="false"/>
              <w:rPr>
                <w:rFonts w:ascii="Arial" w:hAnsi="Arial" w:eastAsia="Arial" w:cs="Arial"/>
                <w:sz w:val="22"/>
                <w:szCs w:val="22"/>
              </w:rPr>
            </w:pPr>
            <w:r>
              <w:rPr>
                <w:rFonts w:eastAsia="Arial" w:cs="Arial" w:ascii="Arial" w:hAnsi="Arial"/>
                <w:sz w:val="22"/>
                <w:szCs w:val="22"/>
              </w:rPr>
              <w:t>6. Azevém anual cv. BRS Ponteio</w:t>
            </w:r>
          </w:p>
        </w:tc>
        <w:tc>
          <w:tcPr>
            <w:tcW w:w="1258" w:type="dxa"/>
            <w:tcBorders/>
            <w:shd w:fill="auto" w:val="clear"/>
            <w:vAlign w:val="bottom"/>
          </w:tcPr>
          <w:p>
            <w:pPr>
              <w:pStyle w:val="LOnormal1"/>
              <w:widowControl w:val="false"/>
              <w:jc w:val="center"/>
              <w:rPr>
                <w:rFonts w:ascii="Arial" w:hAnsi="Arial" w:eastAsia="Arial" w:cs="Arial"/>
                <w:sz w:val="22"/>
                <w:szCs w:val="22"/>
              </w:rPr>
            </w:pPr>
            <w:r>
              <w:rPr>
                <w:rFonts w:eastAsia="Arial" w:cs="Arial" w:ascii="Arial" w:hAnsi="Arial"/>
                <w:sz w:val="22"/>
                <w:szCs w:val="22"/>
              </w:rPr>
              <w:t>5794 (5)</w:t>
            </w:r>
          </w:p>
        </w:tc>
        <w:tc>
          <w:tcPr>
            <w:tcW w:w="1258" w:type="dxa"/>
            <w:tcBorders/>
            <w:shd w:fill="auto" w:val="clear"/>
            <w:vAlign w:val="bottom"/>
          </w:tcPr>
          <w:p>
            <w:pPr>
              <w:pStyle w:val="LOnormal1"/>
              <w:widowControl w:val="false"/>
              <w:jc w:val="center"/>
              <w:rPr>
                <w:rFonts w:ascii="Arial" w:hAnsi="Arial" w:eastAsia="Arial" w:cs="Arial"/>
                <w:sz w:val="22"/>
                <w:szCs w:val="22"/>
              </w:rPr>
            </w:pPr>
            <w:r>
              <w:rPr>
                <w:rFonts w:eastAsia="Arial" w:cs="Arial" w:ascii="Arial" w:hAnsi="Arial"/>
                <w:sz w:val="22"/>
                <w:szCs w:val="22"/>
              </w:rPr>
              <w:t>7679 (6)</w:t>
            </w:r>
          </w:p>
        </w:tc>
        <w:tc>
          <w:tcPr>
            <w:tcW w:w="1434" w:type="dxa"/>
            <w:tcBorders/>
            <w:shd w:fill="auto" w:val="clear"/>
            <w:vAlign w:val="bottom"/>
          </w:tcPr>
          <w:p>
            <w:pPr>
              <w:pStyle w:val="LOnormal1"/>
              <w:widowControl w:val="false"/>
              <w:jc w:val="center"/>
              <w:rPr>
                <w:rFonts w:ascii="Arial" w:hAnsi="Arial" w:eastAsia="Arial" w:cs="Arial"/>
                <w:sz w:val="22"/>
                <w:szCs w:val="22"/>
              </w:rPr>
            </w:pPr>
            <w:r>
              <w:rPr>
                <w:rFonts w:eastAsia="Arial" w:cs="Arial" w:ascii="Arial" w:hAnsi="Arial"/>
                <w:sz w:val="22"/>
                <w:szCs w:val="22"/>
              </w:rPr>
              <w:t>6737 b</w:t>
            </w:r>
          </w:p>
        </w:tc>
      </w:tr>
      <w:tr>
        <w:trPr>
          <w:trHeight w:val="-7" w:hRule="atLeast"/>
        </w:trPr>
        <w:tc>
          <w:tcPr>
            <w:tcW w:w="4978" w:type="dxa"/>
            <w:tcBorders>
              <w:bottom w:val="single" w:sz="4" w:space="0" w:color="000000"/>
            </w:tcBorders>
            <w:shd w:fill="auto" w:val="clear"/>
            <w:vAlign w:val="bottom"/>
          </w:tcPr>
          <w:p>
            <w:pPr>
              <w:pStyle w:val="LOnormal1"/>
              <w:widowControl w:val="false"/>
              <w:rPr>
                <w:rFonts w:ascii="Arial" w:hAnsi="Arial" w:eastAsia="Arial" w:cs="Arial"/>
                <w:sz w:val="22"/>
                <w:szCs w:val="22"/>
              </w:rPr>
            </w:pPr>
            <w:r>
              <w:rPr>
                <w:rFonts w:eastAsia="Arial" w:cs="Arial" w:ascii="Arial" w:hAnsi="Arial"/>
                <w:sz w:val="22"/>
                <w:szCs w:val="22"/>
              </w:rPr>
              <w:t>7. Azevém anual cv. BRS Verdeio</w:t>
            </w:r>
          </w:p>
        </w:tc>
        <w:tc>
          <w:tcPr>
            <w:tcW w:w="1258" w:type="dxa"/>
            <w:tcBorders>
              <w:bottom w:val="single" w:sz="4" w:space="0" w:color="000000"/>
            </w:tcBorders>
            <w:shd w:fill="auto" w:val="clear"/>
            <w:vAlign w:val="bottom"/>
          </w:tcPr>
          <w:p>
            <w:pPr>
              <w:pStyle w:val="LOnormal1"/>
              <w:widowControl w:val="false"/>
              <w:jc w:val="center"/>
              <w:rPr>
                <w:rFonts w:ascii="Arial" w:hAnsi="Arial" w:eastAsia="Arial" w:cs="Arial"/>
                <w:sz w:val="22"/>
                <w:szCs w:val="22"/>
              </w:rPr>
            </w:pPr>
            <w:r>
              <w:rPr>
                <w:rFonts w:eastAsia="Arial" w:cs="Arial" w:ascii="Arial" w:hAnsi="Arial"/>
                <w:sz w:val="22"/>
                <w:szCs w:val="22"/>
              </w:rPr>
              <w:t>5461 (5)</w:t>
            </w:r>
          </w:p>
        </w:tc>
        <w:tc>
          <w:tcPr>
            <w:tcW w:w="1258" w:type="dxa"/>
            <w:tcBorders>
              <w:bottom w:val="single" w:sz="4" w:space="0" w:color="000000"/>
            </w:tcBorders>
            <w:shd w:fill="auto" w:val="clear"/>
            <w:vAlign w:val="bottom"/>
          </w:tcPr>
          <w:p>
            <w:pPr>
              <w:pStyle w:val="LOnormal1"/>
              <w:widowControl w:val="false"/>
              <w:jc w:val="center"/>
              <w:rPr>
                <w:rFonts w:ascii="Arial" w:hAnsi="Arial" w:eastAsia="Arial" w:cs="Arial"/>
                <w:sz w:val="22"/>
                <w:szCs w:val="22"/>
              </w:rPr>
            </w:pPr>
            <w:r>
              <w:rPr>
                <w:rFonts w:eastAsia="Arial" w:cs="Arial" w:ascii="Arial" w:hAnsi="Arial"/>
                <w:sz w:val="22"/>
                <w:szCs w:val="22"/>
              </w:rPr>
              <w:t>6824 (6)</w:t>
            </w:r>
          </w:p>
        </w:tc>
        <w:tc>
          <w:tcPr>
            <w:tcW w:w="1434" w:type="dxa"/>
            <w:tcBorders>
              <w:bottom w:val="single" w:sz="4" w:space="0" w:color="000000"/>
            </w:tcBorders>
            <w:shd w:fill="auto" w:val="clear"/>
            <w:vAlign w:val="bottom"/>
          </w:tcPr>
          <w:p>
            <w:pPr>
              <w:pStyle w:val="LOnormal1"/>
              <w:widowControl w:val="false"/>
              <w:jc w:val="center"/>
              <w:rPr>
                <w:rFonts w:ascii="Arial" w:hAnsi="Arial" w:eastAsia="Arial" w:cs="Arial"/>
                <w:sz w:val="22"/>
                <w:szCs w:val="22"/>
              </w:rPr>
            </w:pPr>
            <w:r>
              <w:rPr>
                <w:rFonts w:eastAsia="Arial" w:cs="Arial" w:ascii="Arial" w:hAnsi="Arial"/>
                <w:sz w:val="22"/>
                <w:szCs w:val="22"/>
              </w:rPr>
              <w:t>6143 c</w:t>
            </w:r>
          </w:p>
        </w:tc>
      </w:tr>
      <w:tr>
        <w:trPr>
          <w:trHeight w:val="-7" w:hRule="atLeast"/>
        </w:trPr>
        <w:tc>
          <w:tcPr>
            <w:tcW w:w="4978" w:type="dxa"/>
            <w:tcBorders>
              <w:top w:val="single" w:sz="4" w:space="0" w:color="000000"/>
              <w:bottom w:val="single" w:sz="4" w:space="0" w:color="000000"/>
            </w:tcBorders>
            <w:shd w:fill="auto" w:val="clear"/>
            <w:vAlign w:val="bottom"/>
          </w:tcPr>
          <w:p>
            <w:pPr>
              <w:pStyle w:val="LOnormal1"/>
              <w:widowControl w:val="false"/>
              <w:rPr>
                <w:rFonts w:ascii="Arial" w:hAnsi="Arial" w:eastAsia="Arial" w:cs="Arial"/>
                <w:sz w:val="22"/>
                <w:szCs w:val="22"/>
              </w:rPr>
            </w:pPr>
            <w:r>
              <w:rPr>
                <w:rFonts w:eastAsia="Arial" w:cs="Arial" w:ascii="Arial" w:hAnsi="Arial"/>
                <w:sz w:val="22"/>
                <w:szCs w:val="22"/>
              </w:rPr>
              <w:t>Média</w:t>
            </w:r>
          </w:p>
        </w:tc>
        <w:tc>
          <w:tcPr>
            <w:tcW w:w="1258" w:type="dxa"/>
            <w:tcBorders/>
            <w:shd w:fill="auto" w:val="clear"/>
            <w:vAlign w:val="bottom"/>
          </w:tcPr>
          <w:p>
            <w:pPr>
              <w:pStyle w:val="LOnormal1"/>
              <w:widowControl w:val="false"/>
              <w:jc w:val="center"/>
              <w:rPr>
                <w:rFonts w:ascii="Arial" w:hAnsi="Arial" w:eastAsia="Arial" w:cs="Arial"/>
                <w:sz w:val="22"/>
                <w:szCs w:val="22"/>
              </w:rPr>
            </w:pPr>
            <w:r>
              <w:rPr>
                <w:rFonts w:eastAsia="Arial" w:cs="Arial" w:ascii="Arial" w:hAnsi="Arial"/>
                <w:sz w:val="22"/>
                <w:szCs w:val="22"/>
              </w:rPr>
              <w:t>5733 B</w:t>
            </w:r>
          </w:p>
        </w:tc>
        <w:tc>
          <w:tcPr>
            <w:tcW w:w="1258" w:type="dxa"/>
            <w:tcBorders/>
            <w:shd w:fill="auto" w:val="clear"/>
            <w:vAlign w:val="bottom"/>
          </w:tcPr>
          <w:p>
            <w:pPr>
              <w:pStyle w:val="LOnormal1"/>
              <w:widowControl w:val="false"/>
              <w:jc w:val="center"/>
              <w:rPr>
                <w:rFonts w:ascii="Arial" w:hAnsi="Arial" w:eastAsia="Arial" w:cs="Arial"/>
                <w:sz w:val="22"/>
                <w:szCs w:val="22"/>
              </w:rPr>
            </w:pPr>
            <w:r>
              <w:rPr>
                <w:rFonts w:eastAsia="Arial" w:cs="Arial" w:ascii="Arial" w:hAnsi="Arial"/>
                <w:sz w:val="22"/>
                <w:szCs w:val="22"/>
              </w:rPr>
              <w:t>7543 A</w:t>
            </w:r>
          </w:p>
        </w:tc>
        <w:tc>
          <w:tcPr>
            <w:tcW w:w="1434" w:type="dxa"/>
            <w:tcBorders/>
            <w:shd w:fill="auto" w:val="clear"/>
            <w:vAlign w:val="bottom"/>
          </w:tcPr>
          <w:p>
            <w:pPr>
              <w:pStyle w:val="LOnormal1"/>
              <w:widowControl w:val="false"/>
              <w:jc w:val="center"/>
              <w:rPr>
                <w:rFonts w:ascii="Arial" w:hAnsi="Arial" w:eastAsia="Arial" w:cs="Arial"/>
                <w:sz w:val="22"/>
                <w:szCs w:val="22"/>
              </w:rPr>
            </w:pPr>
            <w:r>
              <w:rPr>
                <w:rFonts w:eastAsia="Arial" w:cs="Arial" w:ascii="Arial" w:hAnsi="Arial"/>
                <w:sz w:val="22"/>
                <w:szCs w:val="22"/>
              </w:rPr>
              <w:t>6638</w:t>
            </w:r>
          </w:p>
        </w:tc>
      </w:tr>
      <w:tr>
        <w:trPr>
          <w:trHeight w:val="-7" w:hRule="atLeast"/>
        </w:trPr>
        <w:tc>
          <w:tcPr>
            <w:tcW w:w="4978" w:type="dxa"/>
            <w:tcBorders>
              <w:top w:val="single" w:sz="4" w:space="0" w:color="000000"/>
              <w:bottom w:val="single" w:sz="4" w:space="0" w:color="000000"/>
            </w:tcBorders>
            <w:shd w:fill="auto" w:val="clear"/>
            <w:vAlign w:val="bottom"/>
          </w:tcPr>
          <w:p>
            <w:pPr>
              <w:pStyle w:val="LOnormal1"/>
              <w:widowControl w:val="false"/>
              <w:rPr>
                <w:rFonts w:ascii="Arial" w:hAnsi="Arial" w:eastAsia="Arial" w:cs="Arial"/>
                <w:sz w:val="22"/>
                <w:szCs w:val="22"/>
              </w:rPr>
            </w:pPr>
            <w:r>
              <w:rPr>
                <w:rFonts w:eastAsia="Arial" w:cs="Arial" w:ascii="Arial" w:hAnsi="Arial"/>
                <w:sz w:val="22"/>
                <w:szCs w:val="22"/>
              </w:rPr>
              <w:t>C.V.%</w:t>
            </w:r>
          </w:p>
        </w:tc>
        <w:tc>
          <w:tcPr>
            <w:tcW w:w="1258" w:type="dxa"/>
            <w:tcBorders>
              <w:top w:val="single" w:sz="4" w:space="0" w:color="000000"/>
              <w:bottom w:val="single" w:sz="4" w:space="0" w:color="000000"/>
            </w:tcBorders>
            <w:shd w:fill="auto" w:val="clear"/>
            <w:vAlign w:val="bottom"/>
          </w:tcPr>
          <w:p>
            <w:pPr>
              <w:pStyle w:val="LOnormal1"/>
              <w:widowControl w:val="false"/>
              <w:jc w:val="center"/>
              <w:rPr>
                <w:rFonts w:ascii="Arial" w:hAnsi="Arial" w:eastAsia="Arial" w:cs="Arial"/>
                <w:sz w:val="22"/>
                <w:szCs w:val="22"/>
              </w:rPr>
            </w:pPr>
            <w:r>
              <w:rPr>
                <w:rFonts w:eastAsia="Arial" w:cs="Arial" w:ascii="Arial" w:hAnsi="Arial"/>
                <w:sz w:val="22"/>
                <w:szCs w:val="22"/>
              </w:rPr>
              <w:t>4,17</w:t>
            </w:r>
          </w:p>
        </w:tc>
        <w:tc>
          <w:tcPr>
            <w:tcW w:w="1258" w:type="dxa"/>
            <w:tcBorders>
              <w:top w:val="single" w:sz="4" w:space="0" w:color="000000"/>
              <w:bottom w:val="single" w:sz="4" w:space="0" w:color="000000"/>
            </w:tcBorders>
            <w:shd w:fill="auto" w:val="clear"/>
            <w:vAlign w:val="bottom"/>
          </w:tcPr>
          <w:p>
            <w:pPr>
              <w:pStyle w:val="LOnormal1"/>
              <w:widowControl w:val="false"/>
              <w:jc w:val="center"/>
              <w:rPr>
                <w:rFonts w:ascii="Arial" w:hAnsi="Arial" w:eastAsia="Arial" w:cs="Arial"/>
                <w:sz w:val="22"/>
                <w:szCs w:val="22"/>
              </w:rPr>
            </w:pPr>
            <w:r>
              <w:rPr>
                <w:rFonts w:eastAsia="Arial" w:cs="Arial" w:ascii="Arial" w:hAnsi="Arial"/>
                <w:sz w:val="22"/>
                <w:szCs w:val="22"/>
              </w:rPr>
            </w:r>
          </w:p>
        </w:tc>
        <w:tc>
          <w:tcPr>
            <w:tcW w:w="1434" w:type="dxa"/>
            <w:tcBorders>
              <w:top w:val="single" w:sz="4" w:space="0" w:color="000000"/>
              <w:bottom w:val="single" w:sz="4" w:space="0" w:color="000000"/>
            </w:tcBorders>
            <w:shd w:fill="auto" w:val="clear"/>
            <w:vAlign w:val="bottom"/>
          </w:tcPr>
          <w:p>
            <w:pPr>
              <w:pStyle w:val="LOnormal1"/>
              <w:widowControl w:val="false"/>
              <w:rPr>
                <w:rFonts w:ascii="Arial" w:hAnsi="Arial" w:eastAsia="Arial" w:cs="Arial"/>
                <w:sz w:val="22"/>
                <w:szCs w:val="22"/>
              </w:rPr>
            </w:pPr>
            <w:r>
              <w:rPr>
                <w:rFonts w:eastAsia="Arial" w:cs="Arial" w:ascii="Arial" w:hAnsi="Arial"/>
                <w:sz w:val="22"/>
                <w:szCs w:val="22"/>
              </w:rPr>
            </w:r>
          </w:p>
        </w:tc>
      </w:tr>
    </w:tbl>
    <w:p>
      <w:pPr>
        <w:pStyle w:val="LOnormal1"/>
        <w:spacing w:lineRule="auto" w:line="276" w:before="0" w:after="120"/>
        <w:jc w:val="both"/>
        <w:rPr>
          <w:rFonts w:ascii="Arial" w:hAnsi="Arial" w:eastAsia="Arial" w:cs="Arial"/>
          <w:sz w:val="20"/>
          <w:szCs w:val="20"/>
        </w:rPr>
      </w:pPr>
      <w:r>
        <w:rPr>
          <w:rFonts w:eastAsia="Arial" w:cs="Arial" w:ascii="Arial" w:hAnsi="Arial"/>
          <w:sz w:val="20"/>
          <w:szCs w:val="20"/>
        </w:rPr>
        <w:t>Médias seguidas de letras iguais, minúsculas nas colunas e maiúsculas na mesma linha, não diferem entre si pelo teste de Scott-Knott a 5% de probabilidade; C.V.=coeficiente de variação.</w:t>
      </w:r>
    </w:p>
    <w:p>
      <w:pPr>
        <w:pStyle w:val="LOnormal1"/>
        <w:spacing w:lineRule="auto" w:line="276" w:before="0" w:after="120"/>
        <w:jc w:val="both"/>
        <w:rPr>
          <w:rFonts w:ascii="Arial" w:hAnsi="Arial" w:eastAsia="Arial" w:cs="Arial"/>
          <w:sz w:val="22"/>
          <w:szCs w:val="22"/>
        </w:rPr>
      </w:pPr>
      <w:r>
        <w:rPr>
          <w:rFonts w:eastAsia="Arial" w:cs="Arial" w:ascii="Arial" w:hAnsi="Arial"/>
          <w:sz w:val="22"/>
          <w:szCs w:val="22"/>
        </w:rPr>
      </w:r>
    </w:p>
    <w:p>
      <w:pPr>
        <w:pStyle w:val="LOnormal1"/>
        <w:spacing w:lineRule="auto" w:line="276" w:before="0" w:after="120"/>
        <w:jc w:val="both"/>
        <w:rPr>
          <w:rFonts w:ascii="Arial" w:hAnsi="Arial" w:eastAsia="Arial" w:cs="Arial"/>
          <w:sz w:val="22"/>
          <w:szCs w:val="22"/>
        </w:rPr>
      </w:pPr>
      <w:r>
        <w:rPr>
          <w:rFonts w:eastAsia="Arial" w:cs="Arial" w:ascii="Arial" w:hAnsi="Arial"/>
          <w:sz w:val="22"/>
          <w:szCs w:val="22"/>
        </w:rPr>
        <w:t>Em ambos os anos não foram observados danos de geadas em nenhum dos cultivares (Figura 1), bem como não houve diferença no número de cortes entre os mesmos (Tabela 1). No entanto, a produção de massa seca dos cultivares da Epagri foram superiores aos cultivares da Embrapa, à exceção do cv Ponteio, que apresentou produtividade inferior apenas ao cv Altovale. As produtividades observadas para o cultivar Altovale foram superiores às obtidas por Hanisch et al (2019), que em dois anos de avaliação obtiveram uma média de 5,8t MS.ha</w:t>
      </w:r>
      <w:r>
        <w:rPr>
          <w:rFonts w:eastAsia="Arial" w:cs="Arial" w:ascii="Arial" w:hAnsi="Arial"/>
          <w:sz w:val="22"/>
          <w:szCs w:val="22"/>
          <w:vertAlign w:val="superscript"/>
        </w:rPr>
        <w:t>-1</w:t>
      </w:r>
      <w:r>
        <w:rPr>
          <w:rFonts w:eastAsia="Arial" w:cs="Arial" w:ascii="Arial" w:hAnsi="Arial"/>
          <w:sz w:val="22"/>
          <w:szCs w:val="22"/>
        </w:rPr>
        <w:t>, mas foi bastante próxima às 8,2t MS.ha</w:t>
      </w:r>
      <w:r>
        <w:rPr>
          <w:rFonts w:eastAsia="Arial" w:cs="Arial" w:ascii="Arial" w:hAnsi="Arial"/>
          <w:sz w:val="22"/>
          <w:szCs w:val="22"/>
          <w:vertAlign w:val="superscript"/>
        </w:rPr>
        <w:t>-1</w:t>
      </w:r>
      <w:r>
        <w:rPr>
          <w:rFonts w:eastAsia="Arial" w:cs="Arial" w:ascii="Arial" w:hAnsi="Arial"/>
          <w:sz w:val="22"/>
          <w:szCs w:val="22"/>
        </w:rPr>
        <w:t xml:space="preserve"> obtidos por Schmidt (2020) na região do Meio Oeste de Santa Catarina, confirmando o excelente potencial dessa cultivar para o Estado. </w:t>
      </w:r>
    </w:p>
    <w:p>
      <w:pPr>
        <w:pStyle w:val="LOnormal1"/>
        <w:spacing w:lineRule="auto" w:line="276" w:before="0" w:after="120"/>
        <w:jc w:val="both"/>
        <w:rPr>
          <w:rFonts w:ascii="Arial" w:hAnsi="Arial" w:eastAsia="Arial" w:cs="Arial"/>
          <w:sz w:val="22"/>
          <w:szCs w:val="22"/>
        </w:rPr>
      </w:pPr>
      <w:r>
        <w:rPr/>
        <w:drawing>
          <wp:inline distT="0" distB="0" distL="0" distR="0">
            <wp:extent cx="3055620" cy="1561465"/>
            <wp:effectExtent l="0" t="0" r="0" b="0"/>
            <wp:docPr id="3" name="image3.jp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jpg" descr=""/>
                    <pic:cNvPicPr>
                      <a:picLocks noChangeAspect="1" noChangeArrowheads="1"/>
                    </pic:cNvPicPr>
                  </pic:nvPicPr>
                  <pic:blipFill>
                    <a:blip r:embed="rId5"/>
                    <a:stretch>
                      <a:fillRect/>
                    </a:stretch>
                  </pic:blipFill>
                  <pic:spPr bwMode="auto">
                    <a:xfrm>
                      <a:off x="0" y="0"/>
                      <a:ext cx="3055620" cy="1561465"/>
                    </a:xfrm>
                    <a:prstGeom prst="rect">
                      <a:avLst/>
                    </a:prstGeom>
                  </pic:spPr>
                </pic:pic>
              </a:graphicData>
            </a:graphic>
          </wp:inline>
        </w:drawing>
      </w:r>
      <w:r>
        <w:rPr/>
        <w:drawing>
          <wp:inline distT="0" distB="0" distL="0" distR="0">
            <wp:extent cx="2618740" cy="1593215"/>
            <wp:effectExtent l="0" t="0" r="0" b="0"/>
            <wp:docPr id="4" name="image2.jp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g" descr=""/>
                    <pic:cNvPicPr>
                      <a:picLocks noChangeAspect="1" noChangeArrowheads="1"/>
                    </pic:cNvPicPr>
                  </pic:nvPicPr>
                  <pic:blipFill>
                    <a:blip r:embed="rId6"/>
                    <a:stretch>
                      <a:fillRect/>
                    </a:stretch>
                  </pic:blipFill>
                  <pic:spPr bwMode="auto">
                    <a:xfrm>
                      <a:off x="0" y="0"/>
                      <a:ext cx="2618740" cy="1593215"/>
                    </a:xfrm>
                    <a:prstGeom prst="rect">
                      <a:avLst/>
                    </a:prstGeom>
                  </pic:spPr>
                </pic:pic>
              </a:graphicData>
            </a:graphic>
          </wp:inline>
        </w:drawing>
      </w:r>
    </w:p>
    <w:p>
      <w:pPr>
        <w:pStyle w:val="LOnormal1"/>
        <w:spacing w:lineRule="auto" w:line="276" w:before="0" w:after="120"/>
        <w:jc w:val="both"/>
        <w:rPr>
          <w:rFonts w:ascii="Arial" w:hAnsi="Arial" w:eastAsia="Arial" w:cs="Arial"/>
          <w:b/>
          <w:b/>
          <w:sz w:val="22"/>
          <w:szCs w:val="22"/>
        </w:rPr>
      </w:pPr>
      <w:r>
        <w:rPr>
          <w:rFonts w:eastAsia="Arial" w:cs="Arial" w:ascii="Arial" w:hAnsi="Arial"/>
          <w:b/>
          <w:sz w:val="22"/>
          <w:szCs w:val="22"/>
        </w:rPr>
        <w:t xml:space="preserve">Figura 1 Vista geral da área experimental no ano de 2021 e de 2022, cinco dias após a ocorrência de geada, em cada ano. </w:t>
      </w:r>
    </w:p>
    <w:p>
      <w:pPr>
        <w:pStyle w:val="LOnormal1"/>
        <w:keepNext w:val="false"/>
        <w:keepLines w:val="false"/>
        <w:pageBreakBefore w:val="false"/>
        <w:widowControl/>
        <w:shd w:val="clear" w:fill="auto"/>
        <w:spacing w:lineRule="auto" w:line="240" w:before="0" w:after="0"/>
        <w:ind w:left="0" w:right="0" w:hanging="0"/>
        <w:jc w:val="both"/>
        <w:rPr>
          <w:rFonts w:ascii="Arial" w:hAnsi="Arial" w:eastAsia="Arial" w:cs="Arial"/>
          <w:b w:val="false"/>
          <w:b w:val="false"/>
          <w:i w:val="false"/>
          <w:i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r>
    </w:p>
    <w:p>
      <w:pPr>
        <w:pStyle w:val="LOnormal1"/>
        <w:keepNext w:val="false"/>
        <w:keepLines w:val="false"/>
        <w:pageBreakBefore w:val="false"/>
        <w:widowControl/>
        <w:shd w:val="clear" w:fill="auto"/>
        <w:spacing w:lineRule="auto" w:line="240" w:before="0" w:after="0"/>
        <w:ind w:left="0" w:right="0" w:hanging="0"/>
        <w:jc w:val="both"/>
        <w:rPr>
          <w:rFonts w:ascii="Arial" w:hAnsi="Arial" w:eastAsia="Arial" w:cs="Arial"/>
          <w:color w:val="FF0000"/>
          <w:sz w:val="22"/>
          <w:szCs w:val="22"/>
        </w:rPr>
      </w:pPr>
      <w:r>
        <w:rPr>
          <w:rFonts w:eastAsia="Arial" w:cs="Arial" w:ascii="Arial" w:hAnsi="Arial"/>
          <w:color w:val="FF0000"/>
          <w:sz w:val="22"/>
          <w:szCs w:val="22"/>
        </w:rPr>
      </w:r>
    </w:p>
    <w:p>
      <w:pPr>
        <w:pStyle w:val="LOnormal1"/>
        <w:keepNext w:val="false"/>
        <w:keepLines w:val="false"/>
        <w:pageBreakBefore w:val="false"/>
        <w:widowControl/>
        <w:shd w:val="clear" w:fill="auto"/>
        <w:spacing w:lineRule="auto" w:line="240" w:before="0" w:after="0"/>
        <w:ind w:left="0" w:right="0" w:hanging="0"/>
        <w:jc w:val="both"/>
        <w:rPr>
          <w:rFonts w:ascii="Arial" w:hAnsi="Arial" w:eastAsia="Arial" w:cs="Arial"/>
          <w:sz w:val="22"/>
          <w:szCs w:val="22"/>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Conclusão</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 Os sete cultivares </w:t>
      </w:r>
      <w:r>
        <w:rPr>
          <w:rFonts w:eastAsia="Arial" w:cs="Arial" w:ascii="Arial" w:hAnsi="Arial"/>
          <w:sz w:val="22"/>
          <w:szCs w:val="22"/>
        </w:rPr>
        <w:t>de azevém anual provenientes dos programas de melhoramento da Epagri e Embrapa apresentaram produtividades adequadas e alta resistência à geadas nas condições edafoclimáticas do Planalto Norte Catarinense, permitindo a realização de cinco cortes em um ano com restrição hídrica e seis cortes no ano com condições climáticas favoráveis, no período de junho a novembro. O cultivar SCS316 Altovale foi o mais produtivo nos dois anos de avaliação, sendo seguido pelos cultivares Serrana e Centenário da Epagri e cv Ponteio da Embrapa.</w:t>
      </w:r>
    </w:p>
    <w:p>
      <w:pPr>
        <w:pStyle w:val="LOnormal1"/>
        <w:keepNext w:val="false"/>
        <w:keepLines w:val="false"/>
        <w:pageBreakBefore w:val="false"/>
        <w:widowControl/>
        <w:shd w:val="clear" w:fill="auto"/>
        <w:spacing w:lineRule="auto" w:line="240" w:before="0" w:after="0"/>
        <w:ind w:left="0" w:right="0" w:hanging="0"/>
        <w:jc w:val="both"/>
        <w:rPr>
          <w:rFonts w:ascii="Arial" w:hAnsi="Arial" w:eastAsia="Arial" w:cs="Arial"/>
          <w:sz w:val="22"/>
          <w:szCs w:val="22"/>
        </w:rPr>
      </w:pPr>
      <w:r>
        <w:rPr>
          <w:rFonts w:eastAsia="Arial" w:cs="Arial" w:ascii="Arial" w:hAnsi="Arial"/>
          <w:sz w:val="22"/>
          <w:szCs w:val="22"/>
        </w:rPr>
      </w:r>
    </w:p>
    <w:p>
      <w:pPr>
        <w:pStyle w:val="LOnormal1"/>
        <w:keepNext w:val="false"/>
        <w:keepLines w:val="false"/>
        <w:pageBreakBefore w:val="false"/>
        <w:widowControl/>
        <w:shd w:val="clear" w:fill="auto"/>
        <w:spacing w:lineRule="auto" w:line="240" w:before="0" w:after="0"/>
        <w:ind w:left="0" w:right="0" w:hanging="0"/>
        <w:jc w:val="both"/>
        <w:rPr>
          <w:rFonts w:ascii="Cambria" w:hAnsi="Cambria" w:eastAsia="Cambria" w:cs="Cambria"/>
          <w:b w:val="false"/>
          <w:b w:val="false"/>
          <w:i w:val="false"/>
          <w:i w:val="false"/>
          <w:caps w:val="false"/>
          <w:smallCaps w:val="false"/>
          <w:strike w:val="false"/>
          <w:dstrike w:val="false"/>
          <w:color w:val="000000"/>
          <w:position w:val="0"/>
          <w:sz w:val="24"/>
          <w:sz w:val="24"/>
          <w:szCs w:val="24"/>
          <w:u w:val="none"/>
          <w:shd w:fill="auto" w:val="clear"/>
          <w:vertAlign w:val="baseline"/>
        </w:rPr>
      </w:pPr>
      <w:r>
        <w:rPr>
          <w:rFonts w:eastAsia="Cambria" w:cs="Cambria" w:ascii="Cambria" w:hAnsi="Cambria"/>
          <w:b w:val="false"/>
          <w:i w:val="false"/>
          <w:caps w:val="false"/>
          <w:smallCaps w:val="false"/>
          <w:strike w:val="false"/>
          <w:dstrike w:val="false"/>
          <w:color w:val="000000"/>
          <w:position w:val="0"/>
          <w:sz w:val="24"/>
          <w:sz w:val="24"/>
          <w:szCs w:val="24"/>
          <w:u w:val="none"/>
          <w:shd w:fill="auto" w:val="clear"/>
          <w:vertAlign w:val="baseline"/>
        </w:rPr>
      </w:r>
    </w:p>
    <w:p>
      <w:pPr>
        <w:pStyle w:val="LOnormal1"/>
        <w:keepNext w:val="false"/>
        <w:keepLines w:val="false"/>
        <w:pageBreakBefore w:val="false"/>
        <w:widowControl/>
        <w:shd w:val="clear" w:fill="auto"/>
        <w:spacing w:lineRule="auto" w:line="240" w:before="0" w:after="0"/>
        <w:ind w:left="0" w:right="0" w:hanging="0"/>
        <w:jc w:val="both"/>
        <w:rPr>
          <w:rFonts w:ascii="Arial" w:hAnsi="Arial" w:eastAsia="Arial" w:cs="Arial"/>
          <w:b/>
          <w:b/>
          <w:i w:val="false"/>
          <w:i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r>
    </w:p>
    <w:p>
      <w:pPr>
        <w:pStyle w:val="LOnormal1"/>
        <w:keepNext w:val="false"/>
        <w:keepLines w:val="false"/>
        <w:pageBreakBefore w:val="false"/>
        <w:widowControl/>
        <w:shd w:val="clear" w:fill="auto"/>
        <w:spacing w:lineRule="auto" w:line="240" w:before="0" w:after="0"/>
        <w:ind w:left="0" w:right="0" w:hanging="0"/>
        <w:jc w:val="both"/>
        <w:rPr>
          <w:rFonts w:ascii="Times New Roman" w:hAnsi="Times New Roman" w:eastAsia="Times New Roman" w:cs="Times New Roman"/>
          <w:b w:val="false"/>
          <w:b w:val="false"/>
          <w:i w:val="false"/>
          <w:i w:val="false"/>
          <w:caps w:val="false"/>
          <w:smallCaps w:val="false"/>
          <w:strike w:val="false"/>
          <w:dstrike w:val="false"/>
          <w:color w:val="000000"/>
          <w:position w:val="0"/>
          <w:sz w:val="24"/>
          <w:sz w:val="24"/>
          <w:szCs w:val="24"/>
          <w:u w:val="none"/>
          <w:shd w:fill="auto" w:val="clear"/>
          <w:vertAlign w:val="baseline"/>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rPr>
        <w:t>Referências</w:t>
      </w:r>
      <w:r>
        <w:rPr>
          <w:rFonts w:eastAsia="Times New Roman" w:cs="Times New Roman"/>
          <w:b w:val="false"/>
          <w:i w:val="false"/>
          <w:caps w:val="false"/>
          <w:smallCaps w:val="false"/>
          <w:strike w:val="false"/>
          <w:dstrike w:val="false"/>
          <w:color w:val="000000"/>
          <w:position w:val="0"/>
          <w:sz w:val="24"/>
          <w:sz w:val="24"/>
          <w:szCs w:val="24"/>
          <w:u w:val="none"/>
          <w:shd w:fill="auto" w:val="clear"/>
          <w:vertAlign w:val="baseline"/>
        </w:rPr>
        <w:t xml:space="preserve"> </w:t>
      </w:r>
    </w:p>
    <w:p>
      <w:pPr>
        <w:pStyle w:val="LOnormal1"/>
        <w:keepNext w:val="false"/>
        <w:keepLines w:val="false"/>
        <w:pageBreakBefore w:val="false"/>
        <w:widowControl/>
        <w:shd w:val="clear" w:fill="auto"/>
        <w:spacing w:lineRule="auto" w:line="240" w:before="0" w:after="0"/>
        <w:ind w:left="0" w:right="0" w:hanging="0"/>
        <w:jc w:val="both"/>
        <w:rPr>
          <w:rFonts w:ascii="Arial" w:hAnsi="Arial" w:eastAsia="Arial" w:cs="Arial"/>
          <w:b w:val="false"/>
          <w:b w:val="false"/>
          <w:i w:val="false"/>
          <w:i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CÓRDOVA, U. A.; FLARESSO, J. A. Principais grupos de forrageiras de clima temperado. Agropecuária Catarinense, Florianópolis, v. 28, n.1, p.38-43, 2015. </w:t>
      </w:r>
    </w:p>
    <w:p>
      <w:pPr>
        <w:pStyle w:val="LOnormal1"/>
        <w:keepNext w:val="false"/>
        <w:keepLines w:val="false"/>
        <w:pageBreakBefore w:val="false"/>
        <w:widowControl/>
        <w:shd w:val="clear" w:fill="auto"/>
        <w:spacing w:lineRule="auto" w:line="240" w:before="0" w:after="0"/>
        <w:ind w:left="0" w:right="0" w:hanging="0"/>
        <w:jc w:val="both"/>
        <w:rPr>
          <w:rFonts w:ascii="Arial" w:hAnsi="Arial" w:eastAsia="Arial" w:cs="Arial"/>
          <w:b w:val="false"/>
          <w:b w:val="false"/>
          <w:i w:val="false"/>
          <w:i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r>
    </w:p>
    <w:p>
      <w:pPr>
        <w:pStyle w:val="LOnormal1"/>
        <w:keepNext w:val="false"/>
        <w:keepLines w:val="false"/>
        <w:pageBreakBefore w:val="false"/>
        <w:widowControl/>
        <w:shd w:val="clear" w:fill="auto"/>
        <w:spacing w:lineRule="auto" w:line="240" w:before="0" w:after="0"/>
        <w:ind w:left="0" w:right="0" w:hanging="0"/>
        <w:jc w:val="both"/>
        <w:rPr>
          <w:rFonts w:ascii="Arial" w:hAnsi="Arial" w:eastAsia="Arial" w:cs="Arial"/>
          <w:b w:val="false"/>
          <w:b w:val="false"/>
          <w:i w:val="false"/>
          <w:i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HANISCH, A. L.; CÓRDOVA, U. de A.; FLARESSO, J. A.; ROCHA, D. J. A. da; BICCA NETO, H.; ALMEIDA, E. X. de. Novo cultivar catarinense de azevém-anual: SCS316 CR Altovale. Agropecuária Catarinense, Florianópolis, v. 32, n. 2, p. 53–56, 2019. </w:t>
      </w:r>
    </w:p>
    <w:p>
      <w:pPr>
        <w:pStyle w:val="LOnormal1"/>
        <w:keepNext w:val="false"/>
        <w:keepLines w:val="false"/>
        <w:pageBreakBefore w:val="false"/>
        <w:widowControl/>
        <w:shd w:val="clear" w:fill="auto"/>
        <w:spacing w:lineRule="auto" w:line="240" w:before="0" w:after="0"/>
        <w:ind w:left="0" w:right="0" w:hanging="0"/>
        <w:jc w:val="both"/>
        <w:rPr>
          <w:rFonts w:ascii="Arial" w:hAnsi="Arial" w:eastAsia="Arial" w:cs="Arial"/>
          <w:b w:val="false"/>
          <w:b w:val="false"/>
          <w:i w:val="false"/>
          <w:i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r>
    </w:p>
    <w:p>
      <w:pPr>
        <w:pStyle w:val="LOnormal1"/>
        <w:keepNext w:val="false"/>
        <w:keepLines w:val="false"/>
        <w:pageBreakBefore w:val="false"/>
        <w:widowControl/>
        <w:shd w:val="clear" w:fill="auto"/>
        <w:spacing w:lineRule="auto" w:line="240" w:before="0" w:after="0"/>
        <w:ind w:left="0" w:right="0" w:hanging="0"/>
        <w:jc w:val="both"/>
        <w:rPr>
          <w:rFonts w:ascii="Arial" w:hAnsi="Arial" w:eastAsia="Arial" w:cs="Arial"/>
          <w:b w:val="false"/>
          <w:b w:val="false"/>
          <w:i w:val="false"/>
          <w:i w:val="false"/>
          <w:caps w:val="false"/>
          <w:smallCaps w:val="false"/>
          <w:strike w:val="false"/>
          <w:dstrike w:val="false"/>
          <w:color w:val="000000"/>
          <w:position w:val="0"/>
          <w:sz w:val="22"/>
          <w:sz w:val="22"/>
          <w:szCs w:val="22"/>
          <w:u w:val="none"/>
          <w:shd w:fill="auto" w:val="clear"/>
          <w:vertAlign w:val="baseline"/>
        </w:rPr>
      </w:pPr>
      <w:r>
        <w:drawing>
          <wp:anchor behindDoc="0" distT="0" distB="152400" distL="152400" distR="152400" simplePos="0" locked="0" layoutInCell="0" allowOverlap="1" relativeHeight="5">
            <wp:simplePos x="0" y="0"/>
            <wp:positionH relativeFrom="page">
              <wp:align>left</wp:align>
            </wp:positionH>
            <wp:positionV relativeFrom="page">
              <wp:align>top</wp:align>
            </wp:positionV>
            <wp:extent cx="7556500" cy="1115060"/>
            <wp:effectExtent l="0" t="0" r="0" b="0"/>
            <wp:wrapTopAndBottom/>
            <wp:docPr id="5" name="Figura2" descr="Cabeçalho SBSS-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igura2" descr="Cabeçalho SBSS-02.jpg"/>
                    <pic:cNvPicPr>
                      <a:picLocks noChangeAspect="1" noChangeArrowheads="1"/>
                    </pic:cNvPicPr>
                  </pic:nvPicPr>
                  <pic:blipFill>
                    <a:blip r:embed="rId7"/>
                    <a:stretch>
                      <a:fillRect/>
                    </a:stretch>
                  </pic:blipFill>
                  <pic:spPr bwMode="auto">
                    <a:xfrm>
                      <a:off x="0" y="0"/>
                      <a:ext cx="7556500" cy="1115060"/>
                    </a:xfrm>
                    <a:prstGeom prst="rect">
                      <a:avLst/>
                    </a:prstGeom>
                  </pic:spPr>
                </pic:pic>
              </a:graphicData>
            </a:graphic>
          </wp:anchor>
        </w:drawing>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OLIVEIRA, A. P. T.; ROSA, P. P.; CHESINI, R. C.; CAMACHO, J. S.; NUNES, L. P.; FARIA, M. R.; RÖSLER, D. C.; SILVA, P. M.; FERREIRA, O. G. L. Características e utilização do azevém (</w:t>
      </w:r>
      <w:r>
        <w:rPr>
          <w:rFonts w:eastAsia="Arial" w:cs="Arial" w:ascii="Arial" w:hAnsi="Arial"/>
          <w:b w:val="false"/>
          <w:i/>
          <w:caps w:val="false"/>
          <w:smallCaps w:val="false"/>
          <w:strike w:val="false"/>
          <w:dstrike w:val="false"/>
          <w:color w:val="000000"/>
          <w:position w:val="0"/>
          <w:sz w:val="22"/>
          <w:sz w:val="22"/>
          <w:szCs w:val="22"/>
          <w:u w:val="none"/>
          <w:shd w:fill="auto" w:val="clear"/>
          <w:vertAlign w:val="baseline"/>
        </w:rPr>
        <w:t xml:space="preserve">Lolium multiflorum </w:t>
      </w: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 xml:space="preserve">l.) na alimentação de ruminantes – revisão de literatura. Revista Científica Rural, Bagé, v.21, n.3, p.347-365, 2019. </w:t>
      </w:r>
    </w:p>
    <w:p>
      <w:pPr>
        <w:pStyle w:val="LOnormal1"/>
        <w:keepNext w:val="false"/>
        <w:keepLines w:val="false"/>
        <w:pageBreakBefore w:val="false"/>
        <w:widowControl/>
        <w:shd w:val="clear" w:fill="auto"/>
        <w:spacing w:lineRule="auto" w:line="240" w:before="0" w:after="0"/>
        <w:ind w:left="0" w:right="0" w:hanging="0"/>
        <w:jc w:val="both"/>
        <w:rPr>
          <w:rFonts w:ascii="Arial" w:hAnsi="Arial" w:eastAsia="Arial" w:cs="Arial"/>
          <w:b w:val="false"/>
          <w:b w:val="false"/>
          <w:i w:val="false"/>
          <w:i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r>
    </w:p>
    <w:p>
      <w:pPr>
        <w:pStyle w:val="LOnormal1"/>
        <w:keepNext w:val="false"/>
        <w:keepLines w:val="false"/>
        <w:pageBreakBefore w:val="false"/>
        <w:widowControl/>
        <w:shd w:val="clear" w:fill="auto"/>
        <w:spacing w:lineRule="auto" w:line="240" w:before="0" w:after="0"/>
        <w:ind w:left="0" w:right="0" w:hanging="0"/>
        <w:jc w:val="both"/>
        <w:rPr>
          <w:rFonts w:ascii="Arial" w:hAnsi="Arial" w:eastAsia="Arial" w:cs="Arial"/>
          <w:b w:val="false"/>
          <w:b w:val="false"/>
          <w:i w:val="false"/>
          <w:i w:val="false"/>
          <w:caps w:val="false"/>
          <w:smallCaps w:val="false"/>
          <w:strike w:val="false"/>
          <w:dstrike w:val="false"/>
          <w:color w:val="000000"/>
          <w:position w:val="0"/>
          <w:sz w:val="22"/>
          <w:sz w:val="22"/>
          <w:szCs w:val="22"/>
          <w:u w:val="none"/>
          <w:shd w:fill="auto" w:val="clear"/>
          <w:vertAlign w:val="baseline"/>
        </w:rPr>
      </w:pPr>
      <w:r>
        <w:rPr>
          <w:rFonts w:eastAsia="Arial" w:cs="Arial" w:ascii="Arial" w:hAnsi="Arial"/>
          <w:b w:val="false"/>
          <w:i w:val="false"/>
          <w:caps w:val="false"/>
          <w:smallCaps w:val="false"/>
          <w:strike w:val="false"/>
          <w:dstrike w:val="false"/>
          <w:color w:val="000000"/>
          <w:position w:val="0"/>
          <w:sz w:val="22"/>
          <w:sz w:val="22"/>
          <w:szCs w:val="22"/>
          <w:u w:val="none"/>
          <w:shd w:fill="auto" w:val="clear"/>
          <w:vertAlign w:val="baseline"/>
        </w:rPr>
        <w:t>SCHMIDT, F. Desempenho produtivo de espécies forrageiras anuais de inverno sobressemeadas em Tifton 85. In: Workshop de Ciência e Inovação em Pecuária, 1, 2020, Lages, Sc. Anais [...] Florianópolis, SC: Epagri, 2020. Florianópolis: Epagri, v.1, p. 41-43, 2020.</w:t>
      </w:r>
    </w:p>
    <w:sectPr>
      <w:headerReference w:type="even" r:id="rId8"/>
      <w:headerReference w:type="default" r:id="rId9"/>
      <w:headerReference w:type="first" r:id="rId10"/>
      <w:footerReference w:type="even" r:id="rId11"/>
      <w:footerReference w:type="default" r:id="rId12"/>
      <w:footerReference w:type="first" r:id="rId13"/>
      <w:type w:val="nextPage"/>
      <w:pgSz w:w="11906" w:h="16838"/>
      <w:pgMar w:left="1418" w:right="1418" w:gutter="0" w:header="0" w:top="1418" w:footer="0" w:bottom="1418"/>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roman"/>
    <w:pitch w:val="variable"/>
  </w:font>
  <w:font w:name="Cambria">
    <w:charset w:val="00"/>
    <w:family w:val="roman"/>
    <w:pitch w:val="variable"/>
  </w:font>
  <w:font w:name="Helvetica Neue">
    <w:charset w:val="00"/>
    <w:family w:val="roman"/>
    <w:pitch w:val="variable"/>
  </w:font>
  <w:font w:name="Georgia">
    <w:charset w:val="00"/>
    <w:family w:val="roman"/>
    <w:pitch w:val="variable"/>
  </w:font>
  <w:font w:name="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LOnormal1"/>
      <w:keepNext w:val="false"/>
      <w:keepLines w:val="false"/>
      <w:widowControl/>
      <w:shd w:val="clear" w:fill="auto"/>
      <w:tabs>
        <w:tab w:val="clear" w:pos="720"/>
        <w:tab w:val="center" w:pos="4252" w:leader="none"/>
        <w:tab w:val="right" w:pos="8504" w:leader="none"/>
      </w:tabs>
      <w:spacing w:lineRule="auto" w:line="240" w:before="0" w:after="0"/>
      <w:ind w:left="0" w:right="0" w:hanging="0"/>
      <w:jc w:val="left"/>
      <w:rPr>
        <w:rFonts w:ascii="Times New Roman" w:hAnsi="Times New Roman" w:eastAsia="Times New Roman" w:cs="Times New Roman"/>
        <w:b w:val="false"/>
        <w:b w:val="false"/>
        <w:i w:val="false"/>
        <w:i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b w:val="false"/>
        <w:i w:val="false"/>
        <w:caps w:val="false"/>
        <w:smallCaps w:val="false"/>
        <w:strike w:val="false"/>
        <w:dstrike w:val="false"/>
        <w:color w:val="000000"/>
        <w:position w:val="0"/>
        <w:sz w:val="24"/>
        <w:sz w:val="24"/>
        <w:szCs w:val="24"/>
        <w:u w:val="none"/>
        <w:shd w:fill="auto" w:val="clear"/>
        <w:vertAlign w:val="baseline"/>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LOnormal1"/>
      <w:keepNext w:val="false"/>
      <w:keepLines w:val="false"/>
      <w:widowControl/>
      <w:shd w:val="clear" w:fill="auto"/>
      <w:tabs>
        <w:tab w:val="clear" w:pos="720"/>
        <w:tab w:val="center" w:pos="4252" w:leader="none"/>
        <w:tab w:val="right" w:pos="8504" w:leader="none"/>
      </w:tabs>
      <w:spacing w:lineRule="auto" w:line="240" w:before="0" w:after="0"/>
      <w:ind w:left="0" w:right="0" w:hanging="0"/>
      <w:jc w:val="left"/>
      <w:rPr>
        <w:rFonts w:ascii="Times New Roman" w:hAnsi="Times New Roman" w:eastAsia="Times New Roman" w:cs="Times New Roman"/>
        <w:b w:val="false"/>
        <w:b w:val="false"/>
        <w:i w:val="false"/>
        <w:i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b w:val="false"/>
        <w:i w:val="false"/>
        <w:caps w:val="false"/>
        <w:smallCaps w:val="false"/>
        <w:strike w:val="false"/>
        <w:dstrike w:val="false"/>
        <w:color w:val="000000"/>
        <w:position w:val="0"/>
        <w:sz w:val="24"/>
        <w:sz w:val="24"/>
        <w:szCs w:val="24"/>
        <w:u w:val="none"/>
        <w:shd w:fill="auto" w:val="clear"/>
        <w:vertAlign w:val="baseline"/>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LOnormal1"/>
      <w:keepNext w:val="false"/>
      <w:keepLines w:val="false"/>
      <w:widowControl/>
      <w:shd w:val="clear" w:fill="auto"/>
      <w:tabs>
        <w:tab w:val="clear" w:pos="720"/>
        <w:tab w:val="center" w:pos="4252" w:leader="none"/>
        <w:tab w:val="right" w:pos="8504" w:leader="none"/>
      </w:tabs>
      <w:spacing w:lineRule="auto" w:line="240" w:before="0" w:after="0"/>
      <w:ind w:left="0" w:right="0" w:hanging="0"/>
      <w:jc w:val="left"/>
      <w:rPr>
        <w:rFonts w:ascii="Times New Roman" w:hAnsi="Times New Roman" w:eastAsia="Times New Roman" w:cs="Times New Roman"/>
        <w:b w:val="false"/>
        <w:b w:val="false"/>
        <w:i w:val="false"/>
        <w:i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b w:val="false"/>
        <w:i w:val="false"/>
        <w:caps w:val="false"/>
        <w:smallCaps w:val="false"/>
        <w:strike w:val="false"/>
        <w:dstrike w:val="false"/>
        <w:color w:val="000000"/>
        <w:position w:val="0"/>
        <w:sz w:val="24"/>
        <w:sz w:val="24"/>
        <w:szCs w:val="24"/>
        <w:u w:val="none"/>
        <w:shd w:fill="auto" w:val="clear"/>
        <w:vertAlign w:val="baseline"/>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LOnormal1"/>
      <w:keepNext w:val="false"/>
      <w:keepLines w:val="false"/>
      <w:widowControl/>
      <w:shd w:val="clear" w:fill="auto"/>
      <w:tabs>
        <w:tab w:val="clear" w:pos="720"/>
        <w:tab w:val="center" w:pos="4252" w:leader="none"/>
        <w:tab w:val="right" w:pos="8504" w:leader="none"/>
      </w:tabs>
      <w:spacing w:lineRule="auto" w:line="240" w:before="0" w:after="0"/>
      <w:ind w:left="0" w:right="0" w:hanging="0"/>
      <w:jc w:val="left"/>
      <w:rPr>
        <w:rFonts w:ascii="Times New Roman" w:hAnsi="Times New Roman" w:eastAsia="Times New Roman" w:cs="Times New Roman"/>
        <w:b w:val="false"/>
        <w:b w:val="false"/>
        <w:i w:val="false"/>
        <w:i w:val="false"/>
        <w:caps w:val="false"/>
        <w:smallCaps w:val="false"/>
        <w:strike w:val="false"/>
        <w:dstrike w:val="false"/>
        <w:color w:val="000000"/>
        <w:position w:val="0"/>
        <w:sz w:val="24"/>
        <w:sz w:val="24"/>
        <w:szCs w:val="24"/>
        <w:u w:val="none"/>
        <w:shd w:fill="auto" w:val="clear"/>
        <w:vertAlign w:val="baseline"/>
      </w:rPr>
    </w:pPr>
    <w:r>
      <w:rPr>
        <w:rFonts w:eastAsia="Times New Roman" w:cs="Times New Roman"/>
        <w:b w:val="false"/>
        <w:i w:val="false"/>
        <w:caps w:val="false"/>
        <w:smallCaps w:val="false"/>
        <w:strike w:val="false"/>
        <w:dstrike w:val="false"/>
        <w:color w:val="000000"/>
        <w:position w:val="0"/>
        <w:sz w:val="24"/>
        <w:sz w:val="24"/>
        <w:szCs w:val="24"/>
        <w:u w:val="none"/>
        <w:shd w:fill="auto" w:val="clear"/>
        <w:vertAlign w:val="baseline"/>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rPr/>
    </w:pPr>
    <w:r>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4"/>
        <w:szCs w:val="24"/>
        <w:lang w:val="pt-BR" w:eastAsia="zh-CN" w:bidi="hi-IN"/>
      </w:rPr>
    </w:rPrDefault>
    <w:pPrDefault>
      <w:pPr>
        <w:suppressAutoHyphens w:val="true"/>
      </w:pPr>
    </w:pPrDefault>
  </w:docDefaults>
  <w:style w:type="paragraph" w:styleId="Normal" w:default="1">
    <w:name w:val="Normal"/>
    <w:qFormat/>
    <w:pPr>
      <w:widowControl/>
      <w:suppressAutoHyphens w:val="true"/>
      <w:bidi w:val="0"/>
      <w:spacing w:before="0" w:after="0"/>
      <w:jc w:val="left"/>
    </w:pPr>
    <w:rPr>
      <w:rFonts w:ascii="Times New Roman" w:hAnsi="Times New Roman" w:eastAsia="NSimSun" w:cs="Arial"/>
      <w:color w:val="auto"/>
      <w:kern w:val="0"/>
      <w:sz w:val="24"/>
      <w:szCs w:val="24"/>
      <w:lang w:val="pt-BR" w:eastAsia="en-US" w:bidi="hi-IN"/>
    </w:rPr>
  </w:style>
  <w:style w:type="paragraph" w:styleId="Ttulo1">
    <w:name w:val="Heading 1"/>
    <w:basedOn w:val="LOnormal1"/>
    <w:next w:val="LOnormal1"/>
    <w:qFormat/>
    <w:pPr>
      <w:keepNext w:val="true"/>
      <w:keepLines/>
      <w:pageBreakBefore w:val="false"/>
      <w:spacing w:lineRule="auto" w:line="240" w:before="480" w:after="120"/>
    </w:pPr>
    <w:rPr>
      <w:b/>
      <w:sz w:val="48"/>
      <w:szCs w:val="48"/>
    </w:rPr>
  </w:style>
  <w:style w:type="paragraph" w:styleId="Ttulo2">
    <w:name w:val="Heading 2"/>
    <w:basedOn w:val="LOnormal1"/>
    <w:next w:val="LOnormal1"/>
    <w:qFormat/>
    <w:pPr>
      <w:keepNext w:val="true"/>
      <w:keepLines/>
      <w:pageBreakBefore w:val="false"/>
      <w:spacing w:lineRule="auto" w:line="240" w:before="360" w:after="80"/>
    </w:pPr>
    <w:rPr>
      <w:b/>
      <w:sz w:val="36"/>
      <w:szCs w:val="36"/>
    </w:rPr>
  </w:style>
  <w:style w:type="paragraph" w:styleId="Ttulo3">
    <w:name w:val="Heading 3"/>
    <w:basedOn w:val="LOnormal1"/>
    <w:next w:val="LOnormal1"/>
    <w:qFormat/>
    <w:pPr>
      <w:keepNext w:val="true"/>
      <w:keepLines/>
      <w:pageBreakBefore w:val="false"/>
      <w:spacing w:lineRule="auto" w:line="240" w:before="280" w:after="80"/>
    </w:pPr>
    <w:rPr>
      <w:b/>
      <w:sz w:val="28"/>
      <w:szCs w:val="28"/>
    </w:rPr>
  </w:style>
  <w:style w:type="paragraph" w:styleId="Ttulo4">
    <w:name w:val="Heading 4"/>
    <w:basedOn w:val="LOnormal1"/>
    <w:next w:val="LOnormal1"/>
    <w:qFormat/>
    <w:pPr>
      <w:keepNext w:val="true"/>
      <w:keepLines/>
      <w:pageBreakBefore w:val="false"/>
      <w:spacing w:lineRule="auto" w:line="240" w:before="240" w:after="40"/>
    </w:pPr>
    <w:rPr>
      <w:b/>
      <w:sz w:val="24"/>
      <w:szCs w:val="24"/>
    </w:rPr>
  </w:style>
  <w:style w:type="paragraph" w:styleId="Ttulo5">
    <w:name w:val="Heading 5"/>
    <w:basedOn w:val="LOnormal1"/>
    <w:next w:val="LOnormal1"/>
    <w:qFormat/>
    <w:pPr>
      <w:keepNext w:val="true"/>
      <w:keepLines/>
      <w:pageBreakBefore w:val="false"/>
      <w:spacing w:lineRule="auto" w:line="240" w:before="220" w:after="40"/>
    </w:pPr>
    <w:rPr>
      <w:b/>
      <w:sz w:val="22"/>
      <w:szCs w:val="22"/>
    </w:rPr>
  </w:style>
  <w:style w:type="paragraph" w:styleId="Ttulo6">
    <w:name w:val="Heading 6"/>
    <w:basedOn w:val="LOnormal1"/>
    <w:next w:val="LOnormal1"/>
    <w:qFormat/>
    <w:pPr>
      <w:keepNext w:val="true"/>
      <w:keepLines/>
      <w:pageBreakBefore w:val="false"/>
      <w:spacing w:lineRule="auto" w:line="240" w:before="200" w:after="40"/>
    </w:pPr>
    <w:rPr>
      <w:b/>
      <w:sz w:val="20"/>
      <w:szCs w:val="20"/>
    </w:rPr>
  </w:style>
  <w:style w:type="character" w:styleId="DefaultParagraphFont" w:default="1">
    <w:name w:val="Default Paragraph Font"/>
    <w:uiPriority w:val="1"/>
    <w:unhideWhenUsed/>
    <w:qFormat/>
    <w:rPr/>
  </w:style>
  <w:style w:type="character" w:styleId="LinkdaInternet">
    <w:name w:val="Link da Internet"/>
    <w:rPr>
      <w:u w:val="single"/>
    </w:rPr>
  </w:style>
  <w:style w:type="character" w:styleId="CabealhoChar" w:customStyle="1">
    <w:name w:val="Cabeçalho Char"/>
    <w:basedOn w:val="DefaultParagraphFont"/>
    <w:uiPriority w:val="99"/>
    <w:qFormat/>
    <w:rsid w:val="004f5cc5"/>
    <w:rPr>
      <w:sz w:val="24"/>
      <w:szCs w:val="24"/>
      <w:lang w:eastAsia="en-US"/>
    </w:rPr>
  </w:style>
  <w:style w:type="character" w:styleId="RodapChar" w:customStyle="1">
    <w:name w:val="Rodapé Char"/>
    <w:basedOn w:val="DefaultParagraphFont"/>
    <w:uiPriority w:val="99"/>
    <w:qFormat/>
    <w:rsid w:val="004f5cc5"/>
    <w:rPr>
      <w:sz w:val="24"/>
      <w:szCs w:val="24"/>
      <w:lang w:eastAsia="en-US"/>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Arial"/>
    </w:rPr>
  </w:style>
  <w:style w:type="paragraph" w:styleId="Leg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lang w:val="zxx" w:eastAsia="zxx" w:bidi="zxx"/>
    </w:rPr>
  </w:style>
  <w:style w:type="paragraph" w:styleId="LOnormal1" w:default="1">
    <w:name w:val="LO-normal1"/>
    <w:qFormat/>
    <w:pPr>
      <w:widowControl/>
      <w:suppressAutoHyphens w:val="true"/>
      <w:bidi w:val="0"/>
      <w:spacing w:before="0" w:after="0"/>
      <w:jc w:val="left"/>
    </w:pPr>
    <w:rPr>
      <w:rFonts w:ascii="Times New Roman" w:hAnsi="Times New Roman" w:eastAsia="NSimSun" w:cs="Arial"/>
      <w:color w:val="auto"/>
      <w:kern w:val="0"/>
      <w:sz w:val="24"/>
      <w:szCs w:val="24"/>
      <w:lang w:val="pt-BR" w:eastAsia="zh-CN" w:bidi="hi-IN"/>
    </w:rPr>
  </w:style>
  <w:style w:type="paragraph" w:styleId="Ttulododocumento">
    <w:name w:val="Title"/>
    <w:basedOn w:val="LOnormal1"/>
    <w:next w:val="LOnormal1"/>
    <w:qFormat/>
    <w:pPr>
      <w:keepNext w:val="true"/>
      <w:keepLines/>
      <w:pageBreakBefore w:val="false"/>
      <w:spacing w:lineRule="auto" w:line="240" w:before="480" w:after="120"/>
    </w:pPr>
    <w:rPr>
      <w:b/>
      <w:sz w:val="72"/>
      <w:szCs w:val="72"/>
    </w:rPr>
  </w:style>
  <w:style w:type="paragraph" w:styleId="LOnormal" w:customStyle="1">
    <w:name w:val="LO-normal"/>
    <w:qFormat/>
    <w:pPr>
      <w:widowControl/>
      <w:suppressAutoHyphens w:val="true"/>
      <w:bidi w:val="0"/>
      <w:spacing w:before="0" w:after="0"/>
      <w:jc w:val="left"/>
    </w:pPr>
    <w:rPr>
      <w:rFonts w:ascii="Cambria" w:hAnsi="Cambria" w:eastAsia="NSimSun" w:cs="Arial Unicode MS"/>
      <w:color w:val="00000A"/>
      <w:kern w:val="0"/>
      <w:sz w:val="24"/>
      <w:szCs w:val="24"/>
      <w:u w:val="none" w:color="00000A"/>
      <w:lang w:val="en-US" w:eastAsia="zh-CN" w:bidi="hi-IN"/>
    </w:rPr>
  </w:style>
  <w:style w:type="paragraph" w:styleId="CabealhoeRodap" w:customStyle="1">
    <w:name w:val="Cabeçalho e Rodapé"/>
    <w:qFormat/>
    <w:pPr>
      <w:widowControl/>
      <w:tabs>
        <w:tab w:val="clear" w:pos="720"/>
        <w:tab w:val="right" w:pos="9020" w:leader="none"/>
      </w:tabs>
      <w:suppressAutoHyphens w:val="true"/>
      <w:bidi w:val="0"/>
      <w:spacing w:before="0" w:after="0"/>
      <w:jc w:val="left"/>
    </w:pPr>
    <w:rPr>
      <w:rFonts w:ascii="Helvetica Neue" w:hAnsi="Helvetica Neue" w:eastAsia="NSimSun" w:cs="Arial Unicode MS"/>
      <w:color w:val="000000"/>
      <w:kern w:val="0"/>
      <w:sz w:val="24"/>
      <w:szCs w:val="24"/>
      <w:lang w:val="pt-BR" w:eastAsia="zh-CN" w:bidi="hi-IN"/>
      <w14:textOutline w14:cap="flat" w14:cmpd="sng" w14:algn="ctr">
        <w14:noFill/>
        <w14:prstDash w14:val="solid"/>
        <w14:bevel/>
      </w14:textOutline>
    </w:rPr>
  </w:style>
  <w:style w:type="paragraph" w:styleId="Cabealho">
    <w:name w:val="Header"/>
    <w:basedOn w:val="LOnormal1"/>
    <w:link w:val="CabealhoChar"/>
    <w:uiPriority w:val="99"/>
    <w:unhideWhenUsed/>
    <w:rsid w:val="004f5cc5"/>
    <w:pPr>
      <w:tabs>
        <w:tab w:val="clear" w:pos="720"/>
        <w:tab w:val="center" w:pos="4252" w:leader="none"/>
        <w:tab w:val="right" w:pos="8504" w:leader="none"/>
      </w:tabs>
    </w:pPr>
    <w:rPr/>
  </w:style>
  <w:style w:type="paragraph" w:styleId="Rodap">
    <w:name w:val="Footer"/>
    <w:basedOn w:val="LOnormal1"/>
    <w:link w:val="RodapChar"/>
    <w:uiPriority w:val="99"/>
    <w:unhideWhenUsed/>
    <w:rsid w:val="004f5cc5"/>
    <w:pPr>
      <w:tabs>
        <w:tab w:val="clear" w:pos="720"/>
        <w:tab w:val="center" w:pos="4252" w:leader="none"/>
        <w:tab w:val="right" w:pos="8504" w:leader="none"/>
      </w:tabs>
    </w:pPr>
    <w:rPr/>
  </w:style>
  <w:style w:type="paragraph" w:styleId="Subttulo">
    <w:name w:val="Subtitle"/>
    <w:basedOn w:val="LOnormal1"/>
    <w:next w:val="LOnormal1"/>
    <w:qFormat/>
    <w:pPr>
      <w:keepNext w:val="true"/>
      <w:keepLines/>
      <w:pageBreakBefore w:val="false"/>
      <w:spacing w:lineRule="auto" w:line="240" w:before="360" w:after="80"/>
    </w:pPr>
    <w:rPr>
      <w:rFonts w:ascii="Georgia" w:hAnsi="Georgia" w:eastAsia="Georgia" w:cs="Georgia"/>
      <w:i/>
      <w:color w:val="666666"/>
      <w:sz w:val="48"/>
      <w:szCs w:val="48"/>
    </w:rPr>
  </w:style>
  <w:style w:type="numbering" w:styleId="NoList" w:default="1">
    <w:name w:val="No List"/>
    <w:uiPriority w:val="99"/>
    <w:semiHidden/>
    <w:unhideWhenUsed/>
    <w:qFormat/>
  </w:style>
  <w:style w:type="table" w:default="1" w:styleId="TableNormal">
    <w:name w:val="Table Normal"/>
  </w:style>
  <w:style w:type="table" w:default="1" w:styleId="TableNormal">
    <w:name w:val="Table Normal"/>
  </w:style>
  <w:style w:type="table" w:default="1" w:styleId="Tabelanormal">
    <w:name w:val="Normal Table"/>
    <w:uiPriority w:val="99"/>
    <w:semiHidden/>
    <w:unhideWhenUsed/>
    <w:tblPr>
      <w:tblCellMar>
        <w:top w:w="0" w:type="dxa"/>
        <w:left w:w="108" w:type="dxa"/>
        <w:bottom w:w="0" w:type="dxa"/>
        <w:right w:w="108" w:type="dxa"/>
      </w:tblCellMar>
    </w:tblPr>
  </w:style>
  <w:style w:type="table" w:customStyle="1" w:styleId="TableNormal">
    <w:name w:val="Table Normal"/>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mailto:analucia@epagri.sc.gov.br" TargetMode="Externa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1.jpeg"/><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oter" Target="footer3.xml"/><Relationship Id="rId14" Type="http://schemas.openxmlformats.org/officeDocument/2006/relationships/fontTable" Target="fontTable.xml"/><Relationship Id="rId15" Type="http://schemas.openxmlformats.org/officeDocument/2006/relationships/settings" Target="settings.xml"/><Relationship Id="rId16" Type="http://schemas.openxmlformats.org/officeDocument/2006/relationships/theme" Target="theme/theme1.xml"/><Relationship Id="rId17"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roundtripDataSignature="AMtx7mhFRwdb3e+RR1P7ckxLM1eeeulMTA==">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</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
  <TotalTime>0</TotalTime>
  <Application>LibreOffice/7.3.2.2$Windows_X86_64 LibreOffice_project/49f2b1bff42cfccbd8f788c8dc32c1c309559be0</Application>
  <AppVersion>15.0000</AppVersion>
  <Pages>3</Pages>
  <Words>1224</Words>
  <Characters>6353</Characters>
  <CharactersWithSpaces>7536</CharactersWithSpaces>
  <Paragraphs>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2023-09-05T17:34:00Z</dcterms:created>
  <dc:creator>Jocieli Bueno</dc:creator>
  <dc:description/>
  <dc:language>pt-BR</dc:language>
  <cp:lastModifiedBy/>
  <dcterms:modified xsi:type="dcterms:W3CDTF">2023-10-04T11:14:43Z</dcterms:modified>
  <cp:revision>1</cp:revision>
  <dc:subject/>
  <dc:title/>
</cp:coreProperties>
</file>

<file path=docProps/custom.xml><?xml version="1.0" encoding="utf-8"?>
<Properties xmlns="http://schemas.openxmlformats.org/officeDocument/2006/custom-properties" xmlns:vt="http://schemas.openxmlformats.org/officeDocument/2006/docPropsVTypes"/>
</file>