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ind w:right="280" w:hanging="0"/>
        <w:jc w:val="center"/>
        <w:rPr>
          <w:rFonts w:ascii="Arial" w:hAnsi="Arial" w:cs="Arial"/>
          <w:b/>
          <w:b/>
          <w:bCs/>
          <w:color w:val="auto"/>
          <w:sz w:val="28"/>
          <w:szCs w:val="28"/>
          <w:u w:val="none" w:color="000000"/>
          <w:lang w:val="pt-BR"/>
        </w:rPr>
      </w:pPr>
      <w:r>
        <w:drawing>
          <wp:anchor behindDoc="0" distT="152400" distB="152400" distL="152400" distR="152400" simplePos="0" locked="0" layoutInCell="0" allowOverlap="1" relativeHeight="4">
            <wp:simplePos x="0" y="0"/>
            <wp:positionH relativeFrom="page">
              <wp:align>right</wp:align>
            </wp:positionH>
            <wp:positionV relativeFrom="page">
              <wp:posOffset>18415</wp:posOffset>
            </wp:positionV>
            <wp:extent cx="7556500" cy="1115060"/>
            <wp:effectExtent l="0" t="0" r="0" b="0"/>
            <wp:wrapTopAndBottom/>
            <wp:docPr id="1" name="Image 726224714" descr="Cabeçalho SBS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726224714" descr="Cabeçalho SBSS-02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b/>
          <w:bCs/>
          <w:color w:val="auto"/>
          <w:sz w:val="28"/>
          <w:szCs w:val="28"/>
          <w:u w:val="none" w:color="000000"/>
          <w:lang w:val="pt-BR"/>
        </w:rPr>
        <w:t>Suplementação de blend de extratos vegetais para prevenção de diarreia em bezerras leiteiras</w:t>
      </w:r>
    </w:p>
    <w:p>
      <w:pPr>
        <w:pStyle w:val="LOnormal"/>
        <w:ind w:right="280" w:hanging="0"/>
        <w:jc w:val="center"/>
        <w:rPr>
          <w:rFonts w:ascii="Arial" w:hAnsi="Arial" w:cs="Arial"/>
          <w:b/>
          <w:b/>
          <w:bCs/>
          <w:color w:val="auto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b/>
          <w:bCs/>
          <w:color w:val="auto"/>
          <w:sz w:val="22"/>
          <w:szCs w:val="22"/>
          <w:u w:val="none" w:color="000000"/>
          <w:lang w:val="pt-BR"/>
        </w:rPr>
      </w:r>
    </w:p>
    <w:p>
      <w:pPr>
        <w:pStyle w:val="LOnormal"/>
        <w:ind w:right="284" w:hanging="0"/>
        <w:jc w:val="center"/>
        <w:rPr>
          <w:rFonts w:ascii="Arial" w:hAnsi="Arial"/>
          <w:color w:val="auto"/>
          <w:sz w:val="20"/>
          <w:szCs w:val="20"/>
          <w:u w:val="none" w:color="000000"/>
          <w:lang w:val="pt-BR"/>
        </w:rPr>
      </w:pPr>
      <w:r>
        <w:rPr>
          <w:rFonts w:ascii="Arial" w:hAnsi="Arial"/>
          <w:color w:val="auto"/>
          <w:sz w:val="20"/>
          <w:szCs w:val="20"/>
          <w:u w:val="single"/>
          <w:lang w:val="pt-BR"/>
        </w:rPr>
        <w:t>Izaú Cardoso Lopes</w:t>
      </w:r>
      <w:r>
        <w:rPr>
          <w:rFonts w:ascii="Arial" w:hAnsi="Arial"/>
          <w:color w:val="auto"/>
          <w:sz w:val="20"/>
          <w:szCs w:val="20"/>
          <w:u w:val="single"/>
          <w:vertAlign w:val="superscript"/>
          <w:lang w:val="pt-BR"/>
        </w:rPr>
        <w:t>1</w:t>
      </w:r>
      <w:r>
        <w:rPr>
          <w:rFonts w:ascii="Arial" w:hAnsi="Arial"/>
          <w:color w:val="auto"/>
          <w:sz w:val="20"/>
          <w:szCs w:val="20"/>
          <w:u w:val="none" w:color="000000"/>
          <w:lang w:val="pt-BR"/>
        </w:rPr>
        <w:t xml:space="preserve">, Nathália Bittencourt Rodrigues Marani </w:t>
      </w:r>
      <w:r>
        <w:rPr>
          <w:rFonts w:ascii="Arial" w:hAnsi="Arial"/>
          <w:color w:val="auto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ascii="Arial" w:hAnsi="Arial"/>
          <w:color w:val="auto"/>
          <w:sz w:val="20"/>
          <w:szCs w:val="20"/>
          <w:u w:val="none" w:color="000000"/>
          <w:lang w:val="pt-BR"/>
        </w:rPr>
        <w:t>, Aline DALL-ORSOLETTA</w:t>
      </w:r>
      <w:r>
        <w:rPr>
          <w:rFonts w:ascii="Arial" w:hAnsi="Arial"/>
          <w:color w:val="auto"/>
          <w:sz w:val="20"/>
          <w:szCs w:val="20"/>
          <w:u w:val="none" w:color="000000"/>
          <w:vertAlign w:val="superscript"/>
          <w:lang w:val="pt-BR"/>
        </w:rPr>
        <w:t>2</w:t>
      </w:r>
      <w:r>
        <w:rPr>
          <w:rFonts w:ascii="Arial" w:hAnsi="Arial"/>
          <w:color w:val="auto"/>
          <w:sz w:val="20"/>
          <w:szCs w:val="20"/>
          <w:u w:val="none" w:color="000000"/>
          <w:lang w:val="pt-BR"/>
        </w:rPr>
        <w:t>,</w:t>
      </w:r>
      <w:r>
        <w:rPr>
          <w:rFonts w:ascii="Arial" w:hAnsi="Arial"/>
          <w:color w:val="auto"/>
          <w:sz w:val="20"/>
          <w:szCs w:val="20"/>
          <w:u w:val="none" w:color="000000"/>
          <w:vertAlign w:val="superscript"/>
          <w:lang w:val="pt-BR"/>
        </w:rPr>
        <w:t xml:space="preserve"> </w:t>
      </w:r>
      <w:r>
        <w:rPr>
          <w:rFonts w:ascii="Arial" w:hAnsi="Arial"/>
          <w:color w:val="auto"/>
          <w:sz w:val="20"/>
          <w:szCs w:val="20"/>
          <w:u w:val="none" w:color="000000"/>
          <w:lang w:val="pt-BR"/>
        </w:rPr>
        <w:t>Viviane Rohrig Rabassa</w:t>
      </w:r>
      <w:r>
        <w:rPr>
          <w:rFonts w:ascii="Arial" w:hAnsi="Arial"/>
          <w:color w:val="auto"/>
          <w:sz w:val="20"/>
          <w:szCs w:val="20"/>
          <w:u w:val="none" w:color="000000"/>
          <w:vertAlign w:val="superscript"/>
          <w:lang w:val="pt-BR"/>
        </w:rPr>
        <w:t>3</w:t>
      </w:r>
      <w:r>
        <w:rPr>
          <w:rFonts w:ascii="Arial" w:hAnsi="Arial"/>
          <w:color w:val="auto"/>
          <w:sz w:val="20"/>
          <w:szCs w:val="20"/>
          <w:u w:val="none" w:color="000000"/>
          <w:lang w:val="pt-BR"/>
        </w:rPr>
        <w:t>, Vanessa Peripolli</w:t>
      </w:r>
      <w:r>
        <w:rPr>
          <w:rFonts w:ascii="Arial" w:hAnsi="Arial"/>
          <w:color w:val="auto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ascii="Arial" w:hAnsi="Arial"/>
          <w:color w:val="auto"/>
          <w:sz w:val="20"/>
          <w:szCs w:val="20"/>
          <w:u w:val="none" w:color="000000"/>
          <w:lang w:val="pt-BR"/>
        </w:rPr>
        <w:t>, Maurício Lehmann</w:t>
      </w:r>
      <w:r>
        <w:rPr>
          <w:rFonts w:ascii="Arial" w:hAnsi="Arial"/>
          <w:color w:val="auto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ascii="Arial" w:hAnsi="Arial"/>
          <w:color w:val="auto"/>
          <w:sz w:val="20"/>
          <w:szCs w:val="20"/>
          <w:u w:val="none" w:color="000000"/>
          <w:lang w:val="pt-BR"/>
        </w:rPr>
        <w:t>, Juliano Santos Gueretz</w:t>
      </w:r>
      <w:r>
        <w:rPr>
          <w:rFonts w:ascii="Arial" w:hAnsi="Arial"/>
          <w:color w:val="auto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ascii="Arial" w:hAnsi="Arial"/>
          <w:color w:val="auto"/>
          <w:sz w:val="20"/>
          <w:szCs w:val="20"/>
          <w:lang w:val="pt-BR"/>
        </w:rPr>
        <w:t>, Elizabeth Schwegler</w:t>
      </w:r>
      <w:r>
        <w:rPr>
          <w:rFonts w:ascii="Arial" w:hAnsi="Arial"/>
          <w:color w:val="auto"/>
          <w:sz w:val="20"/>
          <w:szCs w:val="20"/>
          <w:vertAlign w:val="superscript"/>
          <w:lang w:val="pt-BR"/>
        </w:rPr>
        <w:t>1</w:t>
      </w:r>
    </w:p>
    <w:p>
      <w:pPr>
        <w:pStyle w:val="LOnormal"/>
        <w:ind w:right="284" w:hanging="0"/>
        <w:jc w:val="center"/>
        <w:rPr>
          <w:rFonts w:ascii="Arial" w:hAnsi="Arial"/>
          <w:color w:val="auto"/>
          <w:sz w:val="20"/>
          <w:szCs w:val="20"/>
          <w:u w:val="none" w:color="000000"/>
          <w:lang w:val="pt-BR"/>
        </w:rPr>
      </w:pPr>
      <w:r>
        <w:rPr>
          <w:rFonts w:ascii="Arial" w:hAnsi="Arial"/>
          <w:color w:val="auto"/>
          <w:sz w:val="20"/>
          <w:szCs w:val="20"/>
          <w:u w:val="none" w:color="000000"/>
          <w:lang w:val="pt-BR"/>
        </w:rPr>
      </w:r>
    </w:p>
    <w:p>
      <w:pPr>
        <w:pStyle w:val="LOnormal"/>
        <w:ind w:right="284" w:hanging="0"/>
        <w:jc w:val="center"/>
        <w:rPr>
          <w:rFonts w:ascii="Arial" w:hAnsi="Arial"/>
          <w:color w:val="auto"/>
          <w:sz w:val="20"/>
          <w:szCs w:val="20"/>
          <w:u w:val="none" w:color="000000"/>
          <w:lang w:val="pt-BR"/>
        </w:rPr>
      </w:pPr>
      <w:r>
        <w:rPr>
          <w:rFonts w:ascii="Arial" w:hAnsi="Arial"/>
          <w:color w:val="auto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ascii="Arial" w:hAnsi="Arial"/>
          <w:color w:val="auto"/>
          <w:sz w:val="20"/>
          <w:szCs w:val="20"/>
          <w:u w:val="none" w:color="000000"/>
          <w:lang w:val="pt-BR"/>
        </w:rPr>
        <w:t xml:space="preserve">Instituto Federal Catarinense – </w:t>
      </w:r>
      <w:r>
        <w:rPr>
          <w:rFonts w:ascii="Arial" w:hAnsi="Arial"/>
          <w:i/>
          <w:iCs/>
          <w:color w:val="auto"/>
          <w:sz w:val="20"/>
          <w:szCs w:val="20"/>
          <w:u w:val="none" w:color="000000"/>
          <w:lang w:val="pt-BR"/>
        </w:rPr>
        <w:t>Campus</w:t>
      </w:r>
      <w:r>
        <w:rPr>
          <w:rFonts w:ascii="Arial" w:hAnsi="Arial"/>
          <w:color w:val="auto"/>
          <w:sz w:val="20"/>
          <w:szCs w:val="20"/>
          <w:u w:val="none" w:color="000000"/>
          <w:lang w:val="pt-BR"/>
        </w:rPr>
        <w:t xml:space="preserve"> Araquari</w:t>
      </w:r>
    </w:p>
    <w:p>
      <w:pPr>
        <w:pStyle w:val="LOnormal"/>
        <w:ind w:right="284" w:hanging="0"/>
        <w:jc w:val="center"/>
        <w:rPr>
          <w:rFonts w:ascii="Arial" w:hAnsi="Arial"/>
          <w:color w:val="auto"/>
          <w:sz w:val="20"/>
          <w:szCs w:val="20"/>
          <w:u w:val="none" w:color="000000"/>
          <w:lang w:val="pt-BR"/>
        </w:rPr>
      </w:pPr>
      <w:r>
        <w:rPr>
          <w:rFonts w:ascii="Arial" w:hAnsi="Arial"/>
          <w:color w:val="auto"/>
          <w:sz w:val="20"/>
          <w:szCs w:val="20"/>
          <w:u w:val="none" w:color="000000"/>
          <w:vertAlign w:val="superscript"/>
          <w:lang w:val="pt-BR"/>
        </w:rPr>
        <w:t>2</w:t>
      </w:r>
      <w:r>
        <w:rPr>
          <w:rFonts w:ascii="Arial" w:hAnsi="Arial"/>
          <w:color w:val="auto"/>
          <w:sz w:val="20"/>
          <w:szCs w:val="20"/>
          <w:u w:val="none" w:color="000000"/>
          <w:lang w:val="pt-BR"/>
        </w:rPr>
        <w:t xml:space="preserve"> DELTAVIT, CCPA group, France</w:t>
      </w:r>
    </w:p>
    <w:p>
      <w:pPr>
        <w:pStyle w:val="LOnormal"/>
        <w:ind w:right="284" w:hanging="0"/>
        <w:jc w:val="center"/>
        <w:rPr>
          <w:rFonts w:ascii="Arial" w:hAnsi="Arial"/>
          <w:color w:val="auto"/>
          <w:sz w:val="20"/>
          <w:szCs w:val="20"/>
          <w:u w:val="none" w:color="000000"/>
          <w:lang w:val="pt-BR"/>
        </w:rPr>
      </w:pPr>
      <w:r>
        <w:rPr>
          <w:rFonts w:ascii="Arial" w:hAnsi="Arial"/>
          <w:color w:val="auto"/>
          <w:sz w:val="20"/>
          <w:szCs w:val="20"/>
          <w:u w:val="none" w:color="000000"/>
          <w:vertAlign w:val="superscript"/>
          <w:lang w:val="pt-BR"/>
        </w:rPr>
        <w:t>3</w:t>
      </w:r>
      <w:r>
        <w:rPr>
          <w:rFonts w:ascii="Arial" w:hAnsi="Arial"/>
          <w:color w:val="auto"/>
          <w:sz w:val="20"/>
          <w:szCs w:val="20"/>
          <w:u w:val="none" w:color="000000"/>
          <w:lang w:val="pt-BR"/>
        </w:rPr>
        <w:t>Universidade Federal de Pelotas – NUPEEC.</w:t>
      </w:r>
    </w:p>
    <w:p>
      <w:pPr>
        <w:pStyle w:val="LOnormal"/>
        <w:ind w:right="284" w:hanging="0"/>
        <w:jc w:val="center"/>
        <w:rPr>
          <w:rFonts w:ascii="Arial" w:hAnsi="Arial" w:eastAsia="Arial" w:cs="Arial"/>
          <w:color w:val="auto"/>
          <w:sz w:val="20"/>
          <w:szCs w:val="20"/>
          <w:u w:val="none" w:color="000000"/>
          <w:lang w:val="pt-BR"/>
        </w:rPr>
      </w:pPr>
      <w:r>
        <w:rPr>
          <w:rFonts w:ascii="Arial" w:hAnsi="Arial"/>
          <w:color w:val="auto"/>
          <w:sz w:val="20"/>
          <w:szCs w:val="20"/>
          <w:u w:val="none" w:color="000000"/>
          <w:lang w:val="pt-BR"/>
        </w:rPr>
        <w:t>E-mail: elizabeth.schwegler@ifc.edu.br</w:t>
      </w:r>
    </w:p>
    <w:p>
      <w:pPr>
        <w:pStyle w:val="LOnormal"/>
        <w:ind w:right="284" w:hanging="0"/>
        <w:jc w:val="both"/>
        <w:rPr>
          <w:rFonts w:ascii="Arial" w:hAnsi="Arial" w:eastAsia="Arial" w:cs="Arial"/>
          <w:color w:val="auto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auto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cs="Arial"/>
          <w:b/>
          <w:b/>
          <w:bCs/>
          <w:color w:val="auto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b/>
          <w:bCs/>
          <w:color w:val="auto"/>
          <w:sz w:val="22"/>
          <w:szCs w:val="22"/>
          <w:u w:val="none" w:color="000000"/>
          <w:lang w:val="pt-BR"/>
        </w:rPr>
        <w:t xml:space="preserve">Contribuição para a sociedade: 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A diarreia é uma enfermidade que causa grandes prejuízos na criação de bezerras, seja na perda de ganho de peso, ou no custo com os tratamentos. Cada vez mais as criações são intensificadas e mundialmente os sistemas de produção tem preconizado a redução do uso de antibióticos. Diante do contexto, </w:t>
      </w:r>
      <w:r>
        <w:rPr>
          <w:rFonts w:cs="Arial" w:ascii="Arial" w:hAnsi="Arial"/>
          <w:sz w:val="22"/>
          <w:szCs w:val="22"/>
          <w:u w:val="none" w:color="000000"/>
          <w:lang w:val="pt-BR"/>
        </w:rPr>
        <w:t>o objetivo deste estudo foi avaliar os efeitos do uso de um blend de extratos vegetais (Grupo CCPA) na prevenção de diarreia em bezerras leiteiras. Nosso estudo demonstrou que o produto foi eficiente na prevenção da enfermidade, desta forma diminuindo os custos do sistema de produção.</w:t>
      </w:r>
    </w:p>
    <w:p>
      <w:pPr>
        <w:pStyle w:val="LOnormal"/>
        <w:jc w:val="both"/>
        <w:rPr>
          <w:rFonts w:ascii="Arial" w:hAnsi="Arial" w:cs="Arial"/>
          <w:b/>
          <w:b/>
          <w:bCs/>
          <w:color w:val="auto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b/>
          <w:bCs/>
          <w:color w:val="auto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lang w:val="pt-BR"/>
        </w:rPr>
      </w:pPr>
      <w:r>
        <w:rPr>
          <w:rFonts w:cs="Arial" w:ascii="Arial" w:hAnsi="Arial"/>
          <w:b/>
          <w:bCs/>
          <w:color w:val="auto"/>
          <w:sz w:val="22"/>
          <w:szCs w:val="22"/>
          <w:u w:val="none" w:color="000000"/>
          <w:lang w:val="pt-BR"/>
        </w:rPr>
        <w:t>Palavras-chave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>: fezes, saúde, peso, OPG.</w:t>
      </w:r>
    </w:p>
    <w:p>
      <w:pPr>
        <w:pStyle w:val="LOnormal"/>
        <w:jc w:val="both"/>
        <w:rPr>
          <w:rFonts w:ascii="Arial" w:hAnsi="Arial" w:eastAsia="Arial" w:cs="Arial"/>
          <w:color w:val="auto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auto"/>
          <w:sz w:val="22"/>
          <w:szCs w:val="22"/>
          <w:u w:val="none" w:color="000000"/>
          <w:lang w:val="pt-BR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  <w:u w:val="none" w:color="000000"/>
        </w:rPr>
      </w:pPr>
      <w:r>
        <w:rPr>
          <w:rFonts w:cs="Arial" w:ascii="Arial" w:hAnsi="Arial"/>
          <w:b/>
          <w:bCs/>
          <w:sz w:val="22"/>
          <w:szCs w:val="22"/>
          <w:u w:val="none" w:color="000000"/>
        </w:rPr>
        <w:t xml:space="preserve">Introdução: </w:t>
      </w:r>
      <w:r>
        <w:rPr>
          <w:rFonts w:cs="Arial" w:ascii="Arial" w:hAnsi="Arial"/>
          <w:sz w:val="22"/>
          <w:szCs w:val="22"/>
          <w:u w:val="none" w:color="000000"/>
        </w:rPr>
        <w:t xml:space="preserve">A ocorrência de enfermidades na fase de bezerras traz grandes prejuízos ao sistema leiteiro, sendo a diarreia uma das principais. Esta enfermidade pode ser causada por diversos agentes, como bactérias patogênicas, vírus e parasitas, ou ser de origem não infecciosa, relacionada ao manejo alimentar (VIEIRA &amp; GOMES, 2021). </w:t>
      </w:r>
      <w:r>
        <w:rPr>
          <w:rFonts w:eastAsia="Times New Roman" w:cs="Arial" w:ascii="Arial" w:hAnsi="Arial"/>
          <w:sz w:val="22"/>
          <w:szCs w:val="22"/>
        </w:rPr>
        <w:t>As perdas resultantes da diarreia em bezerras incluem a mortalidade neonatal, os reflexos negativos na vida adulta e os custos diários com tratamento para animais doentes.  Segundo CHO E YOON (2014) 57% das mortes de bezerras são causadas por esta patologia. Os custos com tratamento dos animais doentes podem chegar a 67 dólares americanos por dia (</w:t>
      </w:r>
      <w:r>
        <w:rPr>
          <w:rFonts w:cs="Arial" w:ascii="Arial" w:hAnsi="Arial"/>
          <w:sz w:val="22"/>
          <w:szCs w:val="22"/>
          <w:shd w:fill="FFFFFF" w:val="clear"/>
        </w:rPr>
        <w:t xml:space="preserve">ROCHA VALDEZ </w:t>
      </w:r>
      <w:r>
        <w:rPr>
          <w:rFonts w:cs="Arial" w:ascii="Arial" w:hAnsi="Arial"/>
          <w:i/>
          <w:iCs/>
          <w:sz w:val="22"/>
          <w:szCs w:val="22"/>
          <w:shd w:fill="FFFFFF" w:val="clear"/>
        </w:rPr>
        <w:t>et al</w:t>
      </w:r>
      <w:r>
        <w:rPr>
          <w:rFonts w:cs="Arial" w:ascii="Arial" w:hAnsi="Arial"/>
          <w:sz w:val="22"/>
          <w:szCs w:val="22"/>
          <w:shd w:fill="FFFFFF" w:val="clear"/>
        </w:rPr>
        <w:t>., 2021)</w:t>
      </w:r>
      <w:r>
        <w:rPr>
          <w:rFonts w:cs="Arial" w:ascii="Arial" w:hAnsi="Arial"/>
          <w:sz w:val="22"/>
          <w:szCs w:val="22"/>
          <w:u w:val="none" w:color="000000"/>
        </w:rPr>
        <w:t>. Diante do exposto, o objetivo deste estudo foi avaliar os efeitos do uso blend de extratos vegetais (Grupo CCPA) na prevenção de diarreia em bezerras leiteiras.</w:t>
      </w:r>
    </w:p>
    <w:p>
      <w:pPr>
        <w:pStyle w:val="Normal"/>
        <w:ind w:firstLine="709"/>
        <w:jc w:val="both"/>
        <w:rPr>
          <w:rFonts w:ascii="Arial" w:hAnsi="Arial" w:cs="Arial"/>
          <w:sz w:val="22"/>
          <w:szCs w:val="22"/>
          <w:u w:val="none" w:color="000000"/>
        </w:rPr>
      </w:pPr>
      <w:r>
        <w:rPr>
          <w:rFonts w:cs="Arial" w:ascii="Arial" w:hAnsi="Arial"/>
          <w:sz w:val="22"/>
          <w:szCs w:val="22"/>
          <w:u w:val="none" w:color="000000"/>
        </w:rPr>
      </w:r>
    </w:p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u w:val="none" w:color="000000"/>
          <w:lang w:val="pt-BR"/>
        </w:rPr>
      </w:pPr>
      <w:bookmarkStart w:id="0" w:name="_headingh.30j0zll"/>
      <w:bookmarkEnd w:id="0"/>
      <w:r>
        <w:rPr>
          <w:rFonts w:cs="Arial" w:ascii="Arial" w:hAnsi="Arial"/>
          <w:b/>
          <w:bCs/>
          <w:color w:val="auto"/>
          <w:sz w:val="22"/>
          <w:szCs w:val="22"/>
          <w:u w:val="none" w:color="000000"/>
          <w:lang w:val="pt-BR"/>
        </w:rPr>
        <w:t>Material e métodos: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 O estudo foi realizado na fazenda-escola do Instituto Federal Catarinense, </w:t>
      </w:r>
      <w:r>
        <w:rPr>
          <w:rFonts w:cs="Arial" w:ascii="Arial" w:hAnsi="Arial"/>
          <w:i/>
          <w:iCs/>
          <w:color w:val="auto"/>
          <w:sz w:val="22"/>
          <w:szCs w:val="22"/>
          <w:u w:val="none" w:color="000000"/>
          <w:lang w:val="pt-BR"/>
        </w:rPr>
        <w:t>Campus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 Araquari- Santa Catarina, no Setor de Ruminantes. Foram utilizadas 10 fêmeas nascidas entre janeiro e junho de 2023, que foram distribuídas em dois grupos, classificadas em grupo teste (GT) e grupo controle (GC).  O experimento teve duração do dia do nascimento até os 60 dias de vida. O GT recebia adicionado ao leite na proporção de 1g/Kg, a partir do segundo dia de vida um blend de extratos vegetais contendo cúrcuma, timol e componentes da parede celular de levedura, como mananoligossacarídeos e β-glucanos (fornecido pelo Grupo CCPA). A dose era ajustada a cada 3 dias conforme a pesagem. Cada grupo foi composto por 5 bezerras (1 raça holandês e 4 Jersolando), totalizando 10 animais no experimento.</w:t>
      </w:r>
      <w:r>
        <w:rPr>
          <w:rFonts w:cs="Arial" w:ascii="Arial" w:hAnsi="Arial"/>
          <w:color w:val="auto"/>
          <w:sz w:val="22"/>
          <w:szCs w:val="22"/>
          <w:lang w:val="pt-BR"/>
        </w:rPr>
        <w:t xml:space="preserve"> As bezerras possuíam peso inicial no GC= 32,4 ± 7,57 kg e GT= 32,6 ± 7,48 kg, com brix no GC= 11,88 ± 0,69% e GT 11,08 ± 0,49%. 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>O aleitamento foi feito três vezes ao dia, durante 60 dias, exclusivamente com o uso de mamadeira durante as duas primeiras semanas de vida e, após esse período, houve a transição para o uso do balde. Cada bezerra recebeu 6 litros de leite por dia, além da oferta de concentrado à vontade a partir do segundo dia de vida. O volumo e (silagem de milho) foi ofertada a partir de 30 dias.</w:t>
      </w:r>
      <w:r>
        <w:rPr>
          <w:rFonts w:cs="Arial" w:ascii="Arial" w:hAnsi="Arial"/>
          <w:color w:val="auto"/>
          <w:sz w:val="22"/>
          <w:szCs w:val="22"/>
          <w:lang w:val="pt-BR"/>
        </w:rPr>
        <w:t xml:space="preserve"> 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>Diariamente era realizado o escore de fezes de 0 a 3 pelo mesmo técnico treinado (0= normal (firme, mas não duro, 1= macio (não mantém a forma, empilha, mas espalha ligeiramente), 2= escorrendo (espalha-se facilmente), 3= aguado (consistência líquida, respingos). Uma pontuação ≥2 indicou a presença de diarreia</w:t>
      </w:r>
      <w:r>
        <w:fldChar w:fldCharType="begin"/>
      </w:r>
      <w:r>
        <w:rPr>
          <w:sz w:val="22"/>
          <w:u w:val="none" w:color="000000"/>
          <w:szCs w:val="22"/>
          <w:rFonts w:cs="Arial" w:ascii="Arial" w:hAnsi="Arial"/>
          <w:color w:val="auto"/>
          <w:lang w:val="pt-BR"/>
        </w:rPr>
        <w:instrText xml:space="preserve">ADDIN CSL_CITATION {"citationItems":[{"id":"ITEM-1","itemData":{"DOI":"10.3168/jds.2020-18907","ISSN":"0022-0302","author":[{"dropping-particle":"","family":"Renaud","given":"D L","non-dropping-particle":"","parse-names":false,"suffix":""},{"dropping-particle":"","family":"Wilms","given":"J N","non-dropping-particle":"","parse-names":false,"suffix":""}],"container-title":"Journal of Dairy Science","id":"ITEM-1","issue":"11","issued":{"date-parts":[["2020"]]},"page":"10709-10714","publisher":"American Dairy Science Association","title":"Technical note : Is fecal consistency scoring an accurate measure of fecal dry matter in dairy calves ?","type":"article-journal","volume":"103"},"uris":["http://www.mendeley.com/documents/?uuid=a406b317-0d90-4fbc-bfbb-0556d9b444b1"]}],"mendeley":{"formattedCitation":"(RENAUD; WILMS, 2020)","manualFormatting":" (Renaud et Wilms (2020)","plainTextFormattedCitation":"(RENAUD; WILMS, 2020)","previouslyFormattedCitation":"(RENAUD; WILMS, 2020)"},"properties":{"noteIndex":0},"schema":"https://github.com/citation-style-language/schema/raw/master/csl-citation.json"}</w:instrTex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</w:r>
      <w:r>
        <w:rPr>
          <w:sz w:val="22"/>
          <w:u w:val="none" w:color="000000"/>
          <w:szCs w:val="22"/>
          <w:rFonts w:cs="Arial" w:ascii="Arial" w:hAnsi="Arial"/>
          <w:color w:val="auto"/>
          <w:lang w:val="pt-BR"/>
        </w:rPr>
        <w:fldChar w:fldCharType="separate"/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 (Renaud et Wilms (2020)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</w:r>
      <w:r>
        <w:rPr>
          <w:sz w:val="22"/>
          <w:u w:val="none" w:color="000000"/>
          <w:szCs w:val="22"/>
          <w:rFonts w:cs="Arial" w:ascii="Arial" w:hAnsi="Arial"/>
          <w:color w:val="auto"/>
          <w:lang w:val="pt-BR"/>
        </w:rPr>
        <w:fldChar w:fldCharType="end"/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. Nos dias 2, 7, 14, 21, 30 e 60 foi realizada a pesagem com o uso de fita torácica (Colonial®) </w:t>
      </w:r>
      <w:r>
        <w:rPr>
          <w:rFonts w:cs="Arial" w:ascii="Arial" w:hAnsi="Arial"/>
          <w:color w:val="000000"/>
          <w:sz w:val="22"/>
          <w:szCs w:val="22"/>
          <w:shd w:fill="FFFFFF" w:val="clear"/>
          <w:lang w:val="pt-BR"/>
        </w:rPr>
        <w:t xml:space="preserve">WATANABE </w:t>
      </w:r>
      <w:r>
        <w:rPr>
          <w:rFonts w:cs="Arial" w:ascii="Arial" w:hAnsi="Arial"/>
          <w:i/>
          <w:iCs/>
          <w:color w:val="000000"/>
          <w:sz w:val="22"/>
          <w:szCs w:val="22"/>
          <w:shd w:fill="FFFFFF" w:val="clear"/>
          <w:lang w:val="pt-BR"/>
        </w:rPr>
        <w:t xml:space="preserve">et al. </w:t>
      </w:r>
      <w:r>
        <w:rPr>
          <w:rFonts w:cs="Arial" w:ascii="Arial" w:hAnsi="Arial"/>
          <w:color w:val="000000"/>
          <w:sz w:val="22"/>
          <w:szCs w:val="22"/>
          <w:shd w:fill="FFFFFF" w:val="clear"/>
          <w:lang w:val="pt-BR"/>
        </w:rPr>
        <w:t xml:space="preserve">(2017) 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e o OPG de todos os animais foi determinado pela técnica </w:t>
      </w:r>
      <w:r>
        <w:rPr>
          <w:rFonts w:cs="Arial" w:ascii="Arial" w:hAnsi="Arial"/>
          <w:color w:val="auto"/>
          <w:sz w:val="22"/>
          <w:szCs w:val="22"/>
          <w:lang w:val="pt-BR"/>
        </w:rPr>
        <w:t xml:space="preserve">de </w:t>
      </w:r>
      <w:r>
        <w:rPr>
          <w:rFonts w:eastAsia="Times New Roman" w:cs="Arial" w:ascii="Arial" w:hAnsi="Arial"/>
          <w:color w:val="auto"/>
          <w:sz w:val="22"/>
          <w:szCs w:val="22"/>
          <w:lang w:val="pt-BR"/>
        </w:rPr>
        <w:t xml:space="preserve">Gordon &amp; Withlock (1939), de característica quantitativa. 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>A Análise estatística feita utilizando o software R Studio</w:t>
      </w:r>
      <w:r>
        <w:rPr>
          <w:rFonts w:cs="Arial" w:ascii="Arial" w:hAnsi="Arial"/>
          <w:color w:val="auto"/>
          <w:sz w:val="22"/>
          <w:szCs w:val="22"/>
          <w:u w:val="none" w:color="000000"/>
          <w:vertAlign w:val="superscript"/>
          <w:lang w:val="pt-BR"/>
        </w:rPr>
        <w:t>®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>, com uso do teste Qui-quadrado para a ocorrência de diarreia. Para análise de peso e OPG foi utilizada a análise de variância por medidas repetidas. Os dados de OPG foram transformados em base de Log</w:t>
      </w:r>
      <w:r>
        <w:rPr>
          <w:rFonts w:cs="Arial" w:ascii="Arial" w:hAnsi="Arial"/>
          <w:color w:val="auto"/>
          <w:sz w:val="22"/>
          <w:szCs w:val="22"/>
          <w:u w:val="none" w:color="000000"/>
          <w:vertAlign w:val="superscript"/>
          <w:lang w:val="pt-BR"/>
        </w:rPr>
        <w:t>10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 para garantir a normalidade dos dados.</w:t>
      </w:r>
    </w:p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u w:val="none" w:color="000000"/>
          <w:lang w:val="pt-BR"/>
        </w:rPr>
      </w:pPr>
      <w:r>
        <w:drawing>
          <wp:anchor behindDoc="0" distT="152400" distB="152400" distL="152400" distR="152400" simplePos="0" locked="0" layoutInCell="0" allowOverlap="1" relativeHeight="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115060"/>
            <wp:effectExtent l="0" t="0" r="0" b="0"/>
            <wp:wrapTopAndBottom/>
            <wp:docPr id="2" name="officeArt object" descr="Cabeçalho SBS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fficeArt object" descr="Cabeçalho SBSS-02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b/>
          <w:bCs/>
          <w:color w:val="auto"/>
          <w:sz w:val="22"/>
          <w:szCs w:val="22"/>
          <w:u w:val="none" w:color="000000"/>
          <w:lang w:val="pt-BR"/>
        </w:rPr>
        <w:t>Resultados e discussões: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 O GT não apresentou dias de diarreia grave (Escore 3 = 0 vs. 14 dias, Tabela 1) e apresentou menos dias de diarreia (Tabela 2). Os dois animais que precisaram ser medicados com toltrazurila devido a coccidiose, eram do GC (com diarreia com mais de 24 horas com escore igual ou acima de 2). Nos dias após a medicação com toltrazurila, os dados do OPG foram desconsiderados desses animais.</w:t>
      </w:r>
    </w:p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b/>
          <w:bCs/>
          <w:color w:val="auto"/>
          <w:sz w:val="20"/>
          <w:szCs w:val="20"/>
          <w:u w:val="none" w:color="000000"/>
          <w:lang w:val="pt-BR"/>
        </w:rPr>
        <w:t xml:space="preserve">Tabela 1. </w:t>
      </w:r>
      <w:r>
        <w:rPr>
          <w:rFonts w:cs="Arial" w:ascii="Arial" w:hAnsi="Arial"/>
          <w:color w:val="auto"/>
          <w:sz w:val="20"/>
          <w:szCs w:val="20"/>
          <w:u w:val="none" w:color="000000"/>
          <w:lang w:val="pt-BR"/>
        </w:rPr>
        <w:t>Número de dias observados em cada escore fecal de bezerras leiteiras suplementadas com fitoterápicos.</w:t>
      </w:r>
    </w:p>
    <w:tbl>
      <w:tblPr>
        <w:tblW w:w="5940" w:type="dxa"/>
        <w:jc w:val="left"/>
        <w:tblInd w:w="0" w:type="dxa"/>
        <w:tblLayout w:type="fixed"/>
        <w:tblCellMar>
          <w:top w:w="12" w:type="dxa"/>
          <w:left w:w="12" w:type="dxa"/>
          <w:bottom w:w="0" w:type="dxa"/>
          <w:right w:w="12" w:type="dxa"/>
        </w:tblCellMar>
        <w:tblLook w:firstRow="0" w:noVBand="1" w:lastRow="0" w:firstColumn="0" w:lastColumn="0" w:noHBand="1" w:val="0600"/>
      </w:tblPr>
      <w:tblGrid>
        <w:gridCol w:w="740"/>
        <w:gridCol w:w="1979"/>
        <w:gridCol w:w="1620"/>
        <w:gridCol w:w="1600"/>
      </w:tblGrid>
      <w:tr>
        <w:trPr>
          <w:trHeight w:val="288" w:hRule="atLeast"/>
        </w:trPr>
        <w:tc>
          <w:tcPr>
            <w:tcW w:w="740" w:type="dxa"/>
            <w:tcBorders>
              <w:top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</w:r>
          </w:p>
        </w:tc>
        <w:tc>
          <w:tcPr>
            <w:tcW w:w="3599" w:type="dxa"/>
            <w:gridSpan w:val="2"/>
            <w:tcBorders>
              <w:top w:val="single" w:sz="4" w:space="0" w:color="000000"/>
              <w:bottom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 xml:space="preserve">Número de dias 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Valor de P</w:t>
            </w:r>
          </w:p>
        </w:tc>
      </w:tr>
      <w:tr>
        <w:trPr>
          <w:trHeight w:val="288" w:hRule="atLeast"/>
        </w:trPr>
        <w:tc>
          <w:tcPr>
            <w:tcW w:w="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Score</w:t>
            </w:r>
          </w:p>
        </w:tc>
        <w:tc>
          <w:tcPr>
            <w:tcW w:w="1979" w:type="dxa"/>
            <w:tcBorders>
              <w:top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GT</w:t>
            </w:r>
          </w:p>
        </w:tc>
        <w:tc>
          <w:tcPr>
            <w:tcW w:w="1620" w:type="dxa"/>
            <w:tcBorders>
              <w:top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GC</w:t>
            </w:r>
          </w:p>
        </w:tc>
        <w:tc>
          <w:tcPr>
            <w:tcW w:w="1600" w:type="dxa"/>
            <w:tcBorders>
              <w:top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</w:r>
          </w:p>
        </w:tc>
      </w:tr>
      <w:tr>
        <w:trPr>
          <w:trHeight w:val="288" w:hRule="atLeast"/>
        </w:trPr>
        <w:tc>
          <w:tcPr>
            <w:tcW w:w="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0</w:t>
            </w:r>
          </w:p>
        </w:tc>
        <w:tc>
          <w:tcPr>
            <w:tcW w:w="1979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276</w:t>
            </w:r>
          </w:p>
        </w:tc>
        <w:tc>
          <w:tcPr>
            <w:tcW w:w="16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266</w:t>
            </w:r>
          </w:p>
        </w:tc>
        <w:tc>
          <w:tcPr>
            <w:tcW w:w="160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0,132</w:t>
            </w:r>
          </w:p>
        </w:tc>
      </w:tr>
      <w:tr>
        <w:trPr>
          <w:trHeight w:val="288" w:hRule="atLeast"/>
        </w:trPr>
        <w:tc>
          <w:tcPr>
            <w:tcW w:w="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1</w:t>
            </w:r>
          </w:p>
        </w:tc>
        <w:tc>
          <w:tcPr>
            <w:tcW w:w="1979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12</w:t>
            </w:r>
          </w:p>
        </w:tc>
        <w:tc>
          <w:tcPr>
            <w:tcW w:w="16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12</w:t>
            </w:r>
          </w:p>
        </w:tc>
        <w:tc>
          <w:tcPr>
            <w:tcW w:w="160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1,0</w:t>
            </w:r>
          </w:p>
        </w:tc>
      </w:tr>
      <w:tr>
        <w:trPr>
          <w:trHeight w:val="288" w:hRule="atLeast"/>
        </w:trPr>
        <w:tc>
          <w:tcPr>
            <w:tcW w:w="74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2</w:t>
            </w:r>
          </w:p>
        </w:tc>
        <w:tc>
          <w:tcPr>
            <w:tcW w:w="1979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7</w:t>
            </w:r>
          </w:p>
        </w:tc>
        <w:tc>
          <w:tcPr>
            <w:tcW w:w="16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3</w:t>
            </w:r>
          </w:p>
        </w:tc>
        <w:tc>
          <w:tcPr>
            <w:tcW w:w="160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0,20</w:t>
            </w:r>
          </w:p>
        </w:tc>
      </w:tr>
      <w:tr>
        <w:trPr>
          <w:trHeight w:val="288" w:hRule="atLeast"/>
        </w:trPr>
        <w:tc>
          <w:tcPr>
            <w:tcW w:w="740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3</w:t>
            </w:r>
          </w:p>
        </w:tc>
        <w:tc>
          <w:tcPr>
            <w:tcW w:w="1979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</w:r>
          </w:p>
        </w:tc>
        <w:tc>
          <w:tcPr>
            <w:tcW w:w="1620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14</w:t>
            </w:r>
          </w:p>
        </w:tc>
        <w:tc>
          <w:tcPr>
            <w:tcW w:w="1600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&lt;0,001</w:t>
            </w:r>
          </w:p>
        </w:tc>
      </w:tr>
    </w:tbl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cs="Arial"/>
          <w:b/>
          <w:b/>
          <w:bCs/>
          <w:color w:val="auto"/>
          <w:sz w:val="20"/>
          <w:szCs w:val="20"/>
          <w:u w:val="none" w:color="000000"/>
          <w:lang w:val="pt-BR"/>
        </w:rPr>
      </w:pPr>
      <w:r>
        <w:rPr>
          <w:rFonts w:cs="Arial" w:ascii="Arial" w:hAnsi="Arial"/>
          <w:b/>
          <w:bCs/>
          <w:color w:val="auto"/>
          <w:sz w:val="20"/>
          <w:szCs w:val="20"/>
          <w:u w:val="none" w:color="000000"/>
          <w:lang w:val="pt-BR"/>
        </w:rPr>
        <w:t xml:space="preserve">Tabela 2. </w:t>
      </w:r>
      <w:r>
        <w:rPr>
          <w:rFonts w:cs="Arial" w:ascii="Arial" w:hAnsi="Arial"/>
          <w:color w:val="auto"/>
          <w:sz w:val="20"/>
          <w:szCs w:val="20"/>
          <w:u w:val="none" w:color="000000"/>
          <w:lang w:val="pt-BR"/>
        </w:rPr>
        <w:t>Número de dias observados com e sem diarreia em bezerras leiteiras suplementadas com fitoterápicos (Normal= escore 0 ou 1, Diarreia= escore 2 ou 3).</w:t>
      </w:r>
    </w:p>
    <w:tbl>
      <w:tblPr>
        <w:tblW w:w="5940" w:type="dxa"/>
        <w:jc w:val="left"/>
        <w:tblInd w:w="0" w:type="dxa"/>
        <w:tblLayout w:type="fixed"/>
        <w:tblCellMar>
          <w:top w:w="12" w:type="dxa"/>
          <w:left w:w="12" w:type="dxa"/>
          <w:bottom w:w="0" w:type="dxa"/>
          <w:right w:w="12" w:type="dxa"/>
        </w:tblCellMar>
        <w:tblLook w:firstRow="0" w:noVBand="1" w:lastRow="0" w:firstColumn="0" w:lastColumn="0" w:noHBand="1" w:val="0600"/>
      </w:tblPr>
      <w:tblGrid>
        <w:gridCol w:w="1199"/>
        <w:gridCol w:w="1520"/>
        <w:gridCol w:w="1620"/>
        <w:gridCol w:w="1600"/>
      </w:tblGrid>
      <w:tr>
        <w:trPr>
          <w:trHeight w:val="289" w:hRule="atLeast"/>
        </w:trPr>
        <w:tc>
          <w:tcPr>
            <w:tcW w:w="1199" w:type="dxa"/>
            <w:tcBorders>
              <w:top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</w:r>
          </w:p>
        </w:tc>
        <w:tc>
          <w:tcPr>
            <w:tcW w:w="3140" w:type="dxa"/>
            <w:gridSpan w:val="2"/>
            <w:tcBorders>
              <w:top w:val="single" w:sz="4" w:space="0" w:color="000000"/>
              <w:bottom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 xml:space="preserve">Número de dias 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textAlignment w:val="bottom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Valor de P</w:t>
            </w:r>
          </w:p>
        </w:tc>
      </w:tr>
      <w:tr>
        <w:trPr>
          <w:trHeight w:val="289" w:hRule="atLeast"/>
        </w:trPr>
        <w:tc>
          <w:tcPr>
            <w:tcW w:w="1199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Score</w:t>
            </w:r>
          </w:p>
        </w:tc>
        <w:tc>
          <w:tcPr>
            <w:tcW w:w="1520" w:type="dxa"/>
            <w:tcBorders>
              <w:top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GT</w:t>
            </w:r>
          </w:p>
        </w:tc>
        <w:tc>
          <w:tcPr>
            <w:tcW w:w="1620" w:type="dxa"/>
            <w:tcBorders>
              <w:top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GC</w:t>
            </w:r>
          </w:p>
        </w:tc>
        <w:tc>
          <w:tcPr>
            <w:tcW w:w="1600" w:type="dxa"/>
            <w:tcBorders>
              <w:top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</w:r>
          </w:p>
        </w:tc>
      </w:tr>
      <w:tr>
        <w:trPr>
          <w:trHeight w:val="289" w:hRule="atLeast"/>
        </w:trPr>
        <w:tc>
          <w:tcPr>
            <w:tcW w:w="1199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0 – Normal</w:t>
            </w:r>
          </w:p>
        </w:tc>
        <w:tc>
          <w:tcPr>
            <w:tcW w:w="15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288</w:t>
            </w:r>
          </w:p>
        </w:tc>
        <w:tc>
          <w:tcPr>
            <w:tcW w:w="16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278</w:t>
            </w:r>
          </w:p>
        </w:tc>
        <w:tc>
          <w:tcPr>
            <w:tcW w:w="160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0,037</w:t>
            </w:r>
          </w:p>
        </w:tc>
      </w:tr>
      <w:tr>
        <w:trPr>
          <w:trHeight w:val="289" w:hRule="atLeast"/>
        </w:trPr>
        <w:tc>
          <w:tcPr>
            <w:tcW w:w="1199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1 – Diarreia</w:t>
            </w:r>
          </w:p>
        </w:tc>
        <w:tc>
          <w:tcPr>
            <w:tcW w:w="1520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7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17</w:t>
            </w:r>
          </w:p>
        </w:tc>
        <w:tc>
          <w:tcPr>
            <w:tcW w:w="1600" w:type="dxa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pBdr/>
              <w:jc w:val="both"/>
              <w:rPr>
                <w:rFonts w:ascii="Arial" w:hAnsi="Arial" w:cs="Arial"/>
                <w:sz w:val="20"/>
                <w:szCs w:val="20"/>
                <w:u w:val="none" w:color="000000"/>
              </w:rPr>
            </w:pPr>
            <w:r>
              <w:rPr>
                <w:rFonts w:cs="Arial" w:ascii="Arial" w:hAnsi="Arial"/>
                <w:sz w:val="20"/>
                <w:szCs w:val="20"/>
                <w:u w:val="none" w:color="000000"/>
              </w:rPr>
              <w:t>0,037</w:t>
            </w:r>
          </w:p>
        </w:tc>
      </w:tr>
    </w:tbl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  </w:t>
      </w:r>
    </w:p>
    <w:p>
      <w:pPr>
        <w:pStyle w:val="LOnormal"/>
        <w:ind w:firstLine="720"/>
        <w:jc w:val="both"/>
        <w:rPr>
          <w:rFonts w:ascii="Arial" w:hAnsi="Arial" w:cs="Arial"/>
          <w:color w:val="auto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>A menor severidade da diarreia e o número menor de dias em processos diarreicos do GT, demonstrados nas tabelas 1 e 2 podem ser resultado da ação dos componentes do fitoterápico utilizado neste estudo. A curcumina e o timol são consideradas substâncias estimuladoras do sistema imune em resposta a invasões parasitárias do trato gastrointestinal</w:t>
      </w:r>
      <w:r>
        <w:rPr>
          <w:rFonts w:cs="Arial" w:ascii="Arial" w:hAnsi="Arial"/>
          <w:color w:val="auto"/>
          <w:sz w:val="22"/>
          <w:szCs w:val="22"/>
          <w:lang w:val="pt-BR"/>
        </w:rPr>
        <w:t xml:space="preserve"> (Jaguezeski </w:t>
      </w:r>
      <w:r>
        <w:rPr>
          <w:rFonts w:cs="Arial" w:ascii="Arial" w:hAnsi="Arial"/>
          <w:i/>
          <w:iCs/>
          <w:color w:val="auto"/>
          <w:sz w:val="22"/>
          <w:szCs w:val="22"/>
          <w:lang w:val="pt-BR"/>
        </w:rPr>
        <w:t>et al</w:t>
      </w:r>
      <w:r>
        <w:rPr>
          <w:rFonts w:cs="Arial" w:ascii="Arial" w:hAnsi="Arial"/>
          <w:color w:val="auto"/>
          <w:sz w:val="22"/>
          <w:szCs w:val="22"/>
          <w:lang w:val="pt-BR"/>
        </w:rPr>
        <w:t>., 2018)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 e os </w:t>
      </w:r>
      <w:r>
        <w:rPr>
          <w:rFonts w:cs="Arial" w:ascii="Arial" w:hAnsi="Arial"/>
          <w:color w:val="auto"/>
          <w:sz w:val="22"/>
          <w:szCs w:val="22"/>
          <w:lang w:val="pt-BR"/>
        </w:rPr>
        <w:t xml:space="preserve">componentes da parede celular de levedura, como mananoligossacarídeos e β-glucanos atuam modulando a microbiota intestinal, reduzindo a enterotoxina, adsorvendo toxinas exógenas, bloqueando a adesão de patógenos à mucosa intestinal e melhorando a imunidade (Liu </w:t>
      </w:r>
      <w:r>
        <w:rPr>
          <w:rFonts w:cs="Arial" w:ascii="Arial" w:hAnsi="Arial"/>
          <w:i/>
          <w:iCs/>
          <w:color w:val="auto"/>
          <w:sz w:val="22"/>
          <w:szCs w:val="22"/>
          <w:lang w:val="pt-BR"/>
        </w:rPr>
        <w:t>et al</w:t>
      </w:r>
      <w:r>
        <w:rPr>
          <w:rFonts w:cs="Arial" w:ascii="Arial" w:hAnsi="Arial"/>
          <w:color w:val="auto"/>
          <w:sz w:val="22"/>
          <w:szCs w:val="22"/>
          <w:lang w:val="pt-BR"/>
        </w:rPr>
        <w:t xml:space="preserve">., 2018). 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Para os dados de OPG não houve diferença entre os grupos, apesar do GC ter apresentados maiores valores (GC= 8.129 ± 24.393 opg/g e GT 1.724 ± 24.017 opg/g) (P&gt;0,05).  Pelo fato de os animais serem monitorados diariamente durante o experimento, as bezerras foram medicadas quando apresentavam mais de 24 horas de diarreia, sem deixar que ficassem por muito tempo com uma alta infestação. Pela mesma razão se justifica a ausência de diferença entre os grupos no peso final (P&gt;0,05). Todos os animais apresentaram crescimento dentro do esperado, em média 800g de ganho de peso diário, com peso final aos 60 dias de vida no GC= 87,6 </w:t>
      </w:r>
      <w:r>
        <w:rPr>
          <w:rFonts w:cs="Arial" w:ascii="Arial" w:hAnsi="Arial"/>
          <w:color w:val="auto"/>
          <w:sz w:val="22"/>
          <w:szCs w:val="22"/>
          <w:lang w:val="pt-BR"/>
        </w:rPr>
        <w:t>± 13,02 Kg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 e GT 87,4 </w:t>
      </w:r>
      <w:r>
        <w:rPr>
          <w:rFonts w:cs="Arial" w:ascii="Arial" w:hAnsi="Arial"/>
          <w:color w:val="auto"/>
          <w:sz w:val="22"/>
          <w:szCs w:val="22"/>
          <w:lang w:val="pt-BR"/>
        </w:rPr>
        <w:t>± 12,79 kg,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 (P= 0,9272). Bezerras acometidas por coccidiose bovina, além </w:t>
      </w:r>
      <w:r>
        <w:rPr>
          <w:rFonts w:eastAsia="Times New Roman" w:cs="Arial" w:ascii="Arial" w:hAnsi="Arial"/>
          <w:color w:val="auto"/>
          <w:sz w:val="22"/>
          <w:szCs w:val="22"/>
          <w:lang w:val="pt-BR"/>
        </w:rPr>
        <w:t>de diarreias e desidratação, apresentam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 </w:t>
      </w:r>
      <w:r>
        <w:rPr>
          <w:rFonts w:eastAsia="Times New Roman" w:cs="Arial" w:ascii="Arial" w:hAnsi="Arial"/>
          <w:color w:val="auto"/>
          <w:sz w:val="22"/>
          <w:szCs w:val="22"/>
          <w:lang w:val="pt-BR"/>
        </w:rPr>
        <w:t>destruição e atrofia das vilosidades e a substituição de vilosidades maduras por tecido imaturo ocasionando a má absorção de nutrientes (</w:t>
      </w:r>
      <w:r>
        <w:rPr>
          <w:rFonts w:cs="Arial" w:ascii="Arial" w:hAnsi="Arial"/>
          <w:color w:val="auto"/>
          <w:sz w:val="22"/>
          <w:szCs w:val="22"/>
          <w:lang w:val="pt-BR"/>
        </w:rPr>
        <w:t>JAISWAL, 2023)</w:t>
      </w:r>
      <w:r>
        <w:rPr>
          <w:rFonts w:eastAsia="Times New Roman" w:cs="Arial" w:ascii="Arial" w:hAnsi="Arial"/>
          <w:color w:val="auto"/>
          <w:sz w:val="22"/>
          <w:szCs w:val="22"/>
          <w:lang w:val="pt-BR"/>
        </w:rPr>
        <w:t>, resultando em atraso de desenvolvimento, especialmente menor ganho de peso.</w:t>
      </w:r>
    </w:p>
    <w:p>
      <w:pPr>
        <w:pStyle w:val="LOnormal"/>
        <w:ind w:firstLine="720"/>
        <w:jc w:val="both"/>
        <w:rPr>
          <w:rFonts w:ascii="Arial" w:hAnsi="Arial" w:cs="Arial"/>
          <w:color w:val="auto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b/>
          <w:bCs/>
          <w:color w:val="auto"/>
          <w:sz w:val="22"/>
          <w:szCs w:val="22"/>
          <w:u w:val="none" w:color="000000"/>
          <w:lang w:val="pt-BR"/>
        </w:rPr>
        <w:t>Conclusão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: O uso do </w:t>
      </w:r>
      <w:r>
        <w:rPr>
          <w:rFonts w:cs="Arial" w:ascii="Arial" w:hAnsi="Arial"/>
          <w:sz w:val="22"/>
          <w:szCs w:val="22"/>
          <w:u w:val="none" w:color="000000"/>
          <w:lang w:val="pt-BR"/>
        </w:rPr>
        <w:t>blend de extratos vegetais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drawing>
          <wp:anchor behindDoc="0" distT="152400" distB="152400" distL="152400" distR="152400" simplePos="0" locked="0" layoutInCell="0" allowOverlap="1" relativeHeight="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115060"/>
            <wp:effectExtent l="0" t="0" r="0" b="0"/>
            <wp:wrapTopAndBottom/>
            <wp:docPr id="3" name="Figura1" descr="Cabeçalho SBS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1" descr="Cabeçalho SBSS-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 (Grupo CCPA) na fase de aleitamento das bezerras leiteiras foi eficiente na prevenção de ocorrência de diarreia, em especial na prevenção de casos graves. Sugere-se novos estudos em fazendas comerciais com um maior número de animais, devido aos dados já promissores apresentados em ambiente controlado com menor número de bezerras.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color w:val="auto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b/>
          <w:bCs/>
          <w:color w:val="auto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b/>
          <w:bCs/>
          <w:color w:val="auto"/>
          <w:sz w:val="22"/>
          <w:szCs w:val="22"/>
          <w:u w:val="none" w:color="000000"/>
          <w:lang w:val="pt-BR"/>
        </w:rPr>
        <w:t xml:space="preserve">Agradecimento: 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Ao CNPq pela bolsa concedida ao estudante, ao grupo CCPA pelo aditivo fornecido e suporte de pesquisa, e ainda, ao IFC </w:t>
      </w:r>
      <w:r>
        <w:rPr>
          <w:rFonts w:cs="Arial" w:ascii="Arial" w:hAnsi="Arial"/>
          <w:i/>
          <w:iCs/>
          <w:color w:val="auto"/>
          <w:sz w:val="22"/>
          <w:szCs w:val="22"/>
          <w:u w:val="none" w:color="000000"/>
          <w:lang w:val="pt-BR"/>
        </w:rPr>
        <w:t>Campus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 Araquari pelo empréstimo dos animais e estrutura utilizada.</w:t>
      </w:r>
    </w:p>
    <w:p>
      <w:pPr>
        <w:pStyle w:val="LOnormal"/>
        <w:jc w:val="both"/>
        <w:rPr>
          <w:rFonts w:ascii="Arial" w:hAnsi="Arial" w:eastAsia="Arial" w:cs="Arial"/>
          <w:color w:val="auto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auto"/>
          <w:sz w:val="22"/>
          <w:szCs w:val="22"/>
          <w:u w:val="none" w:color="000000"/>
          <w:lang w:val="pt-BR"/>
        </w:rPr>
      </w:r>
    </w:p>
    <w:p>
      <w:pPr>
        <w:pStyle w:val="LOnormal"/>
        <w:spacing w:before="50" w:after="0"/>
        <w:ind w:right="1417" w:hanging="0"/>
        <w:jc w:val="both"/>
        <w:rPr>
          <w:rFonts w:ascii="Arial" w:hAnsi="Arial" w:cs="Arial"/>
          <w:color w:val="auto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b/>
          <w:bCs/>
          <w:color w:val="auto"/>
          <w:sz w:val="22"/>
          <w:szCs w:val="22"/>
          <w:u w:val="none" w:color="000000"/>
          <w:lang w:val="pt-BR"/>
        </w:rPr>
        <w:t xml:space="preserve">COMITÊ DE ÉTICA: 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Comitê de Ética de Bem-estar Animal do IFC – </w:t>
      </w:r>
      <w:r>
        <w:rPr>
          <w:rFonts w:cs="Arial" w:ascii="Arial" w:hAnsi="Arial"/>
          <w:i/>
          <w:iCs/>
          <w:color w:val="auto"/>
          <w:sz w:val="22"/>
          <w:szCs w:val="22"/>
          <w:u w:val="none" w:color="000000"/>
          <w:lang w:val="pt-BR"/>
        </w:rPr>
        <w:t>Campus</w:t>
      </w: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 xml:space="preserve"> Araquari sob o protocolo n° 392/2022</w:t>
      </w:r>
      <w:bookmarkStart w:id="1" w:name="_Hlk146544436"/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  <w:t>.</w:t>
      </w:r>
    </w:p>
    <w:p>
      <w:pPr>
        <w:pStyle w:val="LOnormal"/>
        <w:jc w:val="both"/>
        <w:rPr>
          <w:rFonts w:ascii="Arial" w:hAnsi="Arial" w:cs="Arial"/>
          <w:color w:val="auto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color w:val="auto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color w:val="000000" w:themeColor="text1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 xml:space="preserve">Referências: </w:t>
      </w:r>
      <w:r>
        <w:fldChar w:fldCharType="begin"/>
      </w:r>
      <w:r>
        <w:rPr>
          <w:sz w:val="22"/>
          <w:u w:val="none" w:color="000000"/>
          <w:b/>
          <w:szCs w:val="22"/>
          <w:bCs/>
          <w:rFonts w:ascii="Arial" w:hAnsi="Arial"/>
          <w:color w:val="000000"/>
          <w:lang w:val="pt-BR"/>
        </w:rPr>
        <w:instrText xml:space="preserve">ADDIN Mendeley Bibliography CSL_BIBLIOGRAPHY</w:instrText>
      </w: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</w:r>
      <w:r>
        <w:rPr>
          <w:sz w:val="22"/>
          <w:u w:val="none" w:color="000000"/>
          <w:b/>
          <w:szCs w:val="22"/>
          <w:bCs/>
          <w:rFonts w:ascii="Arial" w:hAnsi="Arial"/>
          <w:color w:val="000000"/>
          <w:lang w:val="pt-BR"/>
        </w:rPr>
        <w:fldChar w:fldCharType="separate"/>
      </w: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</w:r>
    </w:p>
    <w:p>
      <w:pPr>
        <w:pStyle w:val="Normal"/>
        <w:widowControl w:val="false"/>
        <w:tabs>
          <w:tab w:val="clear" w:pos="720"/>
          <w:tab w:val="left" w:pos="2900" w:leader="none"/>
        </w:tabs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cs="Arial" w:ascii="Arial" w:hAnsi="Arial"/>
          <w:color w:val="000000" w:themeColor="text1"/>
          <w:sz w:val="22"/>
          <w:szCs w:val="22"/>
        </w:rPr>
        <w:t xml:space="preserve">CHO, Y.-I.; K. J. YOON. </w:t>
      </w:r>
      <w:r>
        <w:rPr>
          <w:rFonts w:cs="Arial" w:ascii="Arial" w:hAnsi="Arial"/>
          <w:color w:val="000000" w:themeColor="text1"/>
          <w:sz w:val="22"/>
          <w:szCs w:val="22"/>
          <w:lang w:val="en-US"/>
        </w:rPr>
        <w:t xml:space="preserve">Na overview of calf diarrhea - infectious etiology, diagnosis, and intervention. </w:t>
      </w:r>
      <w:r>
        <w:rPr>
          <w:rFonts w:cs="Arial" w:ascii="Arial" w:hAnsi="Arial"/>
          <w:b/>
          <w:bCs/>
          <w:color w:val="000000" w:themeColor="text1"/>
          <w:sz w:val="22"/>
          <w:szCs w:val="22"/>
          <w:lang w:val="en-US"/>
        </w:rPr>
        <w:t>Journal Veterinary Science, v.</w:t>
      </w:r>
      <w:r>
        <w:rPr>
          <w:rFonts w:cs="Arial" w:ascii="Arial" w:hAnsi="Arial"/>
          <w:color w:val="000000" w:themeColor="text1"/>
          <w:sz w:val="22"/>
          <w:szCs w:val="22"/>
          <w:lang w:val="en-US"/>
        </w:rPr>
        <w:t>15, p.1- 17, 2014. DOI: https:doi.org/10.4142/jvs.2014.15.1.1</w:t>
      </w:r>
    </w:p>
    <w:p>
      <w:pPr>
        <w:pStyle w:val="Normal"/>
        <w:widowControl w:val="false"/>
        <w:tabs>
          <w:tab w:val="clear" w:pos="720"/>
          <w:tab w:val="left" w:pos="2900" w:leader="none"/>
        </w:tabs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cs="Arial" w:ascii="Arial" w:hAnsi="Arial"/>
          <w:color w:val="000000" w:themeColor="text1"/>
          <w:sz w:val="22"/>
          <w:szCs w:val="22"/>
          <w:lang w:val="en-US"/>
        </w:rPr>
        <w:tab/>
      </w:r>
    </w:p>
    <w:p>
      <w:pPr>
        <w:pStyle w:val="Normal"/>
        <w:widowControl w:val="false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cs="Arial" w:ascii="Arial" w:hAnsi="Arial"/>
          <w:color w:val="000000" w:themeColor="text1"/>
          <w:sz w:val="22"/>
          <w:szCs w:val="22"/>
          <w:lang w:val="en-US"/>
        </w:rPr>
        <w:t xml:space="preserve">GORDON, H.M.; Whitlock, H.V. A new technique for counting nematode eggs in sheep faeces. </w:t>
      </w:r>
      <w:r>
        <w:rPr>
          <w:rFonts w:cs="Arial" w:ascii="Arial" w:hAnsi="Arial"/>
          <w:b/>
          <w:bCs/>
          <w:color w:val="000000" w:themeColor="text1"/>
          <w:sz w:val="22"/>
          <w:szCs w:val="22"/>
          <w:lang w:val="en-US"/>
        </w:rPr>
        <w:t>Journal of Scientific and Industrial Research</w:t>
      </w:r>
      <w:r>
        <w:rPr>
          <w:rFonts w:cs="Arial" w:ascii="Arial" w:hAnsi="Arial"/>
          <w:color w:val="000000" w:themeColor="text1"/>
          <w:sz w:val="22"/>
          <w:szCs w:val="22"/>
          <w:lang w:val="en-US"/>
        </w:rPr>
        <w:t>, v. 12, n.1, p. 50-52, 1939. Disponível em: https://publications.csiro.au/rpr/download?pid=procite:21259a33-8a8e-4add-9315-f8338091a3e6&amp;dsid=DS1. Acesso em: 25 de setembro de 2023.</w:t>
      </w:r>
    </w:p>
    <w:p>
      <w:pPr>
        <w:pStyle w:val="Normal"/>
        <w:widowControl w:val="false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cs="Arial" w:ascii="Arial" w:hAnsi="Arial"/>
          <w:color w:val="000000" w:themeColor="text1"/>
          <w:sz w:val="22"/>
          <w:szCs w:val="22"/>
          <w:lang w:val="en-US"/>
        </w:rPr>
      </w:r>
    </w:p>
    <w:p>
      <w:pPr>
        <w:pStyle w:val="Normal"/>
        <w:widowControl w:val="false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cs="Arial" w:ascii="Arial" w:hAnsi="Arial"/>
          <w:color w:val="000000" w:themeColor="text1"/>
          <w:sz w:val="22"/>
          <w:szCs w:val="22"/>
          <w:lang w:val="en-US"/>
        </w:rPr>
        <w:t xml:space="preserve">JAGUEZESKI, A. M.; PERIN G.; BOTTARI, N. B.; WAGNER, R.; FAGUNDES, M. B.; SCHETINGER, M. R. C.; MORSCH, V. M.; STEIN, C. S.; MORESCO, R. N.; BARRETA, D. A.; DANIELI, B.; DEFILTRO, R. C.; SCHOGOR, A. L. B.; DA SILVA, A. S. Addition of curcumin to the diet of dairy sheep improves health, performance and milk quality. </w:t>
      </w:r>
      <w:r>
        <w:rPr>
          <w:rFonts w:cs="Arial" w:ascii="Arial" w:hAnsi="Arial"/>
          <w:b/>
          <w:bCs/>
          <w:color w:val="000000" w:themeColor="text1"/>
          <w:sz w:val="22"/>
          <w:szCs w:val="22"/>
          <w:lang w:val="en-US"/>
        </w:rPr>
        <w:t xml:space="preserve">Animal Feed Science Technology, </w:t>
      </w:r>
      <w:r>
        <w:rPr>
          <w:rFonts w:cs="Arial" w:ascii="Arial" w:hAnsi="Arial"/>
          <w:color w:val="000000" w:themeColor="text1"/>
          <w:sz w:val="22"/>
          <w:szCs w:val="22"/>
          <w:lang w:val="en-US"/>
        </w:rPr>
        <w:t>v.</w:t>
      </w:r>
      <w:r>
        <w:rPr>
          <w:rFonts w:cs="Arial" w:ascii="Arial" w:hAnsi="Arial"/>
          <w:b/>
          <w:bCs/>
          <w:color w:val="000000" w:themeColor="text1"/>
          <w:sz w:val="22"/>
          <w:szCs w:val="22"/>
          <w:lang w:val="en-US"/>
        </w:rPr>
        <w:t xml:space="preserve"> </w:t>
      </w:r>
      <w:r>
        <w:rPr>
          <w:rFonts w:cs="Arial" w:ascii="Arial" w:hAnsi="Arial"/>
          <w:color w:val="000000" w:themeColor="text1"/>
          <w:sz w:val="22"/>
          <w:szCs w:val="22"/>
          <w:lang w:val="en-US"/>
        </w:rPr>
        <w:t>246, p.144–157, 2018. DOI: https://doi.org/10.1016/j.anifeedsci .2018.10.010</w:t>
      </w:r>
    </w:p>
    <w:p>
      <w:pPr>
        <w:pStyle w:val="Normal"/>
        <w:widowControl w:val="false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cs="Arial" w:ascii="Arial" w:hAnsi="Arial"/>
          <w:color w:val="000000" w:themeColor="text1"/>
          <w:sz w:val="22"/>
          <w:szCs w:val="22"/>
          <w:lang w:val="en-US"/>
        </w:rPr>
      </w:r>
    </w:p>
    <w:p>
      <w:pPr>
        <w:pStyle w:val="Normal"/>
        <w:widowControl w:val="false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cs="Arial" w:ascii="Arial" w:hAnsi="Arial"/>
          <w:color w:val="000000" w:themeColor="text1"/>
          <w:sz w:val="22"/>
          <w:szCs w:val="22"/>
          <w:lang w:val="en-US"/>
        </w:rPr>
        <w:t xml:space="preserve">JAISWAL, V.; BRAR, A. P. S.; SANDHU, B. S.; SINGLA, L. D. Faecal prevalence and histopathological evaluation of coccidiosis in bovine calves. </w:t>
      </w:r>
      <w:r>
        <w:rPr>
          <w:rFonts w:cs="Arial" w:ascii="Arial" w:hAnsi="Arial"/>
          <w:b/>
          <w:bCs/>
          <w:color w:val="000000" w:themeColor="text1"/>
          <w:sz w:val="22"/>
          <w:szCs w:val="22"/>
          <w:lang w:val="en-US"/>
        </w:rPr>
        <w:t>Journal of Parasitic Diseases</w:t>
      </w:r>
      <w:r>
        <w:rPr>
          <w:rFonts w:cs="Arial" w:ascii="Arial" w:hAnsi="Arial"/>
          <w:color w:val="000000" w:themeColor="text1"/>
          <w:sz w:val="22"/>
          <w:szCs w:val="22"/>
          <w:lang w:val="en-US"/>
        </w:rPr>
        <w:t>, v 47, p. 550–555, 2023. DOI: 10.1007/s12639-023-01590-x</w:t>
      </w:r>
    </w:p>
    <w:p>
      <w:pPr>
        <w:pStyle w:val="Normal"/>
        <w:widowControl w:val="false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cs="Arial" w:ascii="Arial" w:hAnsi="Arial"/>
          <w:color w:val="000000" w:themeColor="text1"/>
          <w:sz w:val="22"/>
          <w:szCs w:val="22"/>
          <w:lang w:val="en-US"/>
        </w:rPr>
      </w:r>
    </w:p>
    <w:p>
      <w:pPr>
        <w:pStyle w:val="Normal"/>
        <w:widowControl w:val="false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cs="Arial" w:ascii="Arial" w:hAnsi="Arial"/>
          <w:color w:val="000000" w:themeColor="text1"/>
          <w:sz w:val="22"/>
          <w:szCs w:val="22"/>
          <w:lang w:val="en-US"/>
        </w:rPr>
        <w:t xml:space="preserve">LIU, N.; WANG, J.; LIU, Z.; WANG, Y.; WANG, J. Effect of supplemental yeast cell walls on growth performance, gut mucosal glutathione pathway, proteolytic enzymes and transporters in growing broiler chickens. </w:t>
      </w:r>
      <w:r>
        <w:rPr>
          <w:rFonts w:cs="Arial" w:ascii="Arial" w:hAnsi="Arial"/>
          <w:b/>
          <w:bCs/>
          <w:color w:val="000000" w:themeColor="text1"/>
          <w:sz w:val="22"/>
          <w:szCs w:val="22"/>
          <w:lang w:val="en-US"/>
        </w:rPr>
        <w:t>Journal Animal Science</w:t>
      </w:r>
      <w:r>
        <w:rPr>
          <w:rFonts w:cs="Arial" w:ascii="Arial" w:hAnsi="Arial"/>
          <w:color w:val="000000" w:themeColor="text1"/>
          <w:sz w:val="22"/>
          <w:szCs w:val="22"/>
          <w:lang w:val="en-US"/>
        </w:rPr>
        <w:t>, v. 96, p.1330–1337, 2018. DOI: https://doi .org/10.1093/jas/sky046</w:t>
      </w:r>
    </w:p>
    <w:p>
      <w:pPr>
        <w:pStyle w:val="Normal"/>
        <w:widowControl w:val="false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cs="Arial" w:ascii="Arial" w:hAnsi="Arial"/>
          <w:color w:val="000000" w:themeColor="text1"/>
          <w:sz w:val="22"/>
          <w:szCs w:val="22"/>
          <w:lang w:val="en-US"/>
        </w:rPr>
      </w:r>
    </w:p>
    <w:p>
      <w:pPr>
        <w:pStyle w:val="Normal"/>
        <w:widowControl w:val="false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cs="Arial" w:ascii="Arial" w:hAnsi="Arial"/>
          <w:color w:val="000000" w:themeColor="text1"/>
          <w:sz w:val="22"/>
          <w:szCs w:val="22"/>
          <w:lang w:val="en-US"/>
        </w:rPr>
        <w:t xml:space="preserve">RENAUD, D. L.; WILMS, J. N. Technical note: Is fecal consistency scoring an accurate measure of fecal dry matter in dairy calves ? </w:t>
      </w:r>
      <w:r>
        <w:rPr>
          <w:rFonts w:cs="Arial" w:ascii="Arial" w:hAnsi="Arial"/>
          <w:b/>
          <w:bCs/>
          <w:color w:val="000000" w:themeColor="text1"/>
          <w:sz w:val="22"/>
          <w:szCs w:val="22"/>
          <w:lang w:val="en-US"/>
        </w:rPr>
        <w:t>Journal of Dairy Science</w:t>
      </w:r>
      <w:r>
        <w:rPr>
          <w:rFonts w:cs="Arial" w:ascii="Arial" w:hAnsi="Arial"/>
          <w:color w:val="000000" w:themeColor="text1"/>
          <w:sz w:val="22"/>
          <w:szCs w:val="22"/>
          <w:lang w:val="en-US"/>
        </w:rPr>
        <w:t>, v. 103, n. 11, p. 10709–10714, 2020. DOI: http://dx.doi.org/10.3168/jds.2020-18907.</w:t>
      </w:r>
    </w:p>
    <w:p>
      <w:pPr>
        <w:pStyle w:val="Normal"/>
        <w:widowControl w:val="false"/>
        <w:jc w:val="both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cs="Arial" w:ascii="Arial" w:hAnsi="Arial"/>
          <w:color w:val="000000" w:themeColor="text1"/>
          <w:sz w:val="22"/>
          <w:szCs w:val="22"/>
          <w:lang w:val="en-US"/>
        </w:rPr>
      </w:r>
    </w:p>
    <w:p>
      <w:pPr>
        <w:pStyle w:val="LOnormal"/>
        <w:jc w:val="both"/>
        <w:rPr>
          <w:rStyle w:val="LinkdaInternet"/>
          <w:rFonts w:ascii="Arial" w:hAnsi="Arial" w:cs="Arial"/>
          <w:color w:val="000000" w:themeColor="text1"/>
          <w:sz w:val="22"/>
          <w:szCs w:val="22"/>
          <w:u w:val="none"/>
          <w:lang w:val="pt-BR"/>
        </w:rPr>
      </w:pPr>
      <w:r>
        <w:rPr>
          <w:rFonts w:cs="Arial" w:ascii="Arial" w:hAnsi="Arial"/>
          <w:color w:val="000000" w:themeColor="text1"/>
          <w:sz w:val="22"/>
          <w:szCs w:val="22"/>
        </w:rPr>
        <w:t>ROCHA V.J.; GONZALEZ-AVALOS R.; AVILA-CISNEROS R.; PEÑA-REVUELTA B.; REYES-ROMERO A. Economic impact of mortality and morbidity from diseases in dairy calves.</w:t>
      </w:r>
      <w:r>
        <w:rPr>
          <w:rFonts w:cs="Arial" w:ascii="Arial" w:hAnsi="Arial"/>
          <w:b/>
          <w:bCs/>
          <w:color w:val="000000" w:themeColor="text1"/>
          <w:sz w:val="22"/>
          <w:szCs w:val="22"/>
        </w:rPr>
        <w:t> </w:t>
      </w:r>
      <w:r>
        <w:rPr>
          <w:rFonts w:cs="Arial" w:ascii="Arial" w:hAnsi="Arial"/>
          <w:b/>
          <w:bCs/>
          <w:color w:val="000000" w:themeColor="text1"/>
          <w:sz w:val="22"/>
          <w:szCs w:val="22"/>
          <w:lang w:val="pt-BR"/>
        </w:rPr>
        <w:t>Abanico Veterinario</w:t>
      </w:r>
      <w:r>
        <w:rPr>
          <w:rFonts w:cs="Arial" w:ascii="Arial" w:hAnsi="Arial"/>
          <w:color w:val="000000" w:themeColor="text1"/>
          <w:sz w:val="22"/>
          <w:szCs w:val="22"/>
          <w:lang w:val="pt-BR"/>
        </w:rPr>
        <w:t xml:space="preserve">, v. 9, n.1, p. 1-7, 2019. DOI: http://dx.doi.org/10.21929/abavet2019.920 </w:t>
      </w:r>
      <w:r>
        <w:rPr>
          <w:rStyle w:val="LinkdaInternet"/>
          <w:rFonts w:cs="Arial" w:ascii="Arial" w:hAnsi="Arial"/>
          <w:color w:val="000000" w:themeColor="text1"/>
          <w:sz w:val="22"/>
          <w:szCs w:val="22"/>
          <w:lang w:val="pt-BR"/>
        </w:rPr>
        <w:t xml:space="preserve"> </w:t>
      </w:r>
    </w:p>
    <w:p>
      <w:pPr>
        <w:pStyle w:val="LOnormal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>
        <w:rPr>
          <w:rFonts w:cs="Arial" w:ascii="Arial" w:hAnsi="Arial"/>
          <w:color w:val="000000" w:themeColor="text1"/>
          <w:sz w:val="22"/>
          <w:szCs w:val="22"/>
          <w:lang w:val="pt-BR"/>
        </w:rPr>
      </w:r>
    </w:p>
    <w:p>
      <w:pPr>
        <w:pStyle w:val="LOnormal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</w:r>
      <w:r>
        <w:rPr>
          <w:sz w:val="22"/>
          <w:u w:val="none" w:color="000000"/>
          <w:b/>
          <w:szCs w:val="22"/>
          <w:bCs/>
          <w:rFonts w:ascii="Arial" w:hAnsi="Arial"/>
          <w:color w:val="000000"/>
          <w:lang w:val="pt-BR"/>
        </w:rPr>
        <w:fldChar w:fldCharType="end"/>
      </w:r>
      <w:r>
        <w:rPr>
          <w:rFonts w:cs="Arial" w:ascii="Arial" w:hAnsi="Arial"/>
          <w:color w:val="000000" w:themeColor="text1"/>
          <w:sz w:val="22"/>
          <w:szCs w:val="22"/>
          <w:lang w:val="pt-BR"/>
        </w:rPr>
        <w:t xml:space="preserve">VIEIRA, F. S; GOMES, R. S. Diarreia em bezerros: etiologia, tratamento e fatores imunológicos. </w:t>
      </w:r>
      <w:r>
        <w:rPr>
          <w:rFonts w:cs="Arial" w:ascii="Arial" w:hAnsi="Arial"/>
          <w:b/>
          <w:bCs/>
          <w:color w:val="000000" w:themeColor="text1"/>
          <w:sz w:val="22"/>
          <w:szCs w:val="22"/>
        </w:rPr>
        <w:t>Brazilian Journal of Animal and Environmental Research</w:t>
      </w:r>
      <w:r>
        <w:rPr>
          <w:rFonts w:cs="Arial" w:ascii="Arial" w:hAnsi="Arial"/>
          <w:color w:val="000000" w:themeColor="text1"/>
          <w:sz w:val="22"/>
          <w:szCs w:val="22"/>
        </w:rPr>
        <w:t xml:space="preserve">, v. 4, n. 4, p. 5061-5102, 2021. </w:t>
      </w:r>
      <w:r>
        <w:rPr>
          <w:rFonts w:cs="Arial" w:ascii="Arial" w:hAnsi="Arial"/>
          <w:color w:val="000000" w:themeColor="text1"/>
          <w:sz w:val="22"/>
          <w:szCs w:val="22"/>
          <w:lang w:val="pt-BR"/>
        </w:rPr>
        <w:t xml:space="preserve">DOI: </w:t>
      </w:r>
      <w:hyperlink r:id="rId5">
        <w:r>
          <w:rPr>
            <w:rStyle w:val="LinkdaInternet"/>
            <w:rFonts w:cs="Arial" w:ascii="Arial" w:hAnsi="Arial"/>
            <w:color w:val="000000" w:themeColor="text1"/>
            <w:sz w:val="22"/>
            <w:szCs w:val="22"/>
            <w:u w:val="none"/>
            <w:lang w:val="pt-BR"/>
          </w:rPr>
          <w:t>https://doi.org/10.34188/bjaerv4n4-018</w:t>
        </w:r>
      </w:hyperlink>
    </w:p>
    <w:p>
      <w:pPr>
        <w:pStyle w:val="LOnormal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>
        <w:rPr>
          <w:rFonts w:cs="Arial" w:ascii="Arial" w:hAnsi="Arial"/>
          <w:color w:val="000000" w:themeColor="text1"/>
          <w:sz w:val="22"/>
          <w:szCs w:val="22"/>
          <w:lang w:val="pt-BR"/>
        </w:rPr>
      </w:r>
    </w:p>
    <w:p>
      <w:pPr>
        <w:pStyle w:val="LOnormal"/>
        <w:jc w:val="both"/>
        <w:rPr>
          <w:rFonts w:ascii="Arial" w:hAnsi="Arial" w:eastAsia="Arial" w:cs="Arial"/>
          <w:color w:val="auto"/>
          <w:sz w:val="22"/>
          <w:szCs w:val="22"/>
        </w:rPr>
      </w:pPr>
      <w:r>
        <w:rPr>
          <w:rFonts w:cs="Arial" w:ascii="Arial" w:hAnsi="Arial"/>
          <w:color w:val="000000" w:themeColor="text1"/>
          <w:sz w:val="22"/>
          <w:szCs w:val="22"/>
          <w:shd w:fill="FFFFFF" w:val="clear"/>
          <w:lang w:val="pt-BR"/>
        </w:rPr>
        <w:t xml:space="preserve">WATANABE, A. Q.; </w:t>
      </w:r>
      <w:r>
        <w:rPr>
          <w:rStyle w:val="Name"/>
          <w:rFonts w:cs="Arial" w:ascii="Arial" w:hAnsi="Arial"/>
          <w:color w:val="000000" w:themeColor="text1"/>
          <w:sz w:val="22"/>
          <w:szCs w:val="22"/>
          <w:lang w:val="pt-BR"/>
        </w:rPr>
        <w:t xml:space="preserve">WATANABE, A. H. Q.; </w:t>
      </w:r>
      <w:r>
        <w:rPr>
          <w:rFonts w:cs="Arial" w:ascii="Arial" w:hAnsi="Arial"/>
          <w:color w:val="000000" w:themeColor="text1"/>
          <w:sz w:val="22"/>
          <w:szCs w:val="22"/>
          <w:shd w:fill="FFFFFF" w:val="clear"/>
          <w:lang w:val="pt-BR"/>
        </w:rPr>
        <w:t xml:space="preserve">MANCHINI, H.; MARÇAL, W. S. Comparação do peso corporal obtido através de pesagem em balança digital ou fita torácica de pesagem em Bovinos Nelore. </w:t>
      </w:r>
      <w:r>
        <w:rPr>
          <w:rFonts w:cs="Arial" w:ascii="Arial" w:hAnsi="Arial"/>
          <w:b/>
          <w:bCs/>
          <w:color w:val="000000" w:themeColor="text1"/>
          <w:sz w:val="22"/>
          <w:szCs w:val="22"/>
          <w:shd w:fill="FFFFFF" w:val="clear"/>
        </w:rPr>
        <w:t>PUBVET</w:t>
      </w:r>
      <w:r>
        <w:rPr>
          <w:rFonts w:cs="Arial" w:ascii="Arial" w:hAnsi="Arial"/>
          <w:color w:val="000000" w:themeColor="text1"/>
          <w:sz w:val="22"/>
          <w:szCs w:val="22"/>
          <w:shd w:fill="FFFFFF" w:val="clear"/>
        </w:rPr>
        <w:t xml:space="preserve">, v. 11, n. 5, p.527-531, 2017. DOI: </w:t>
      </w:r>
      <w:hyperlink r:id="rId6">
        <w:r>
          <w:rPr>
            <w:rStyle w:val="LinkdaInternet"/>
            <w:rFonts w:cs="Arial" w:ascii="Arial" w:hAnsi="Arial"/>
            <w:sz w:val="22"/>
            <w:szCs w:val="22"/>
            <w:u w:val="none"/>
          </w:rPr>
          <w:t>https://doi.org/10.22256/PUBVET.V11N5.527-531</w:t>
        </w:r>
      </w:hyperlink>
      <w:bookmarkEnd w:id="1"/>
    </w:p>
    <w:sectPr>
      <w:type w:val="nextPage"/>
      <w:pgSz w:w="11906" w:h="16838"/>
      <w:pgMar w:left="1418" w:right="1418" w:gutter="0" w:header="0" w:top="1418" w:footer="0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mbria">
    <w:charset w:val="00"/>
    <w:family w:val="roman"/>
    <w:pitch w:val="variable"/>
  </w:font>
  <w:font w:name="Helvetica Neue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pBdr/>
      <w:suppressAutoHyphens w:val="false"/>
      <w:bidi w:val="0"/>
      <w:spacing w:before="0" w:after="0"/>
      <w:jc w:val="left"/>
    </w:pPr>
    <w:rPr>
      <w:rFonts w:ascii="Times New Roman" w:hAnsi="Times New Roman" w:eastAsia="Arial Unicode MS" w:cs="Times New Roman"/>
      <w:color w:val="auto"/>
      <w:kern w:val="0"/>
      <w:sz w:val="24"/>
      <w:szCs w:val="24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rPr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ad62db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semiHidden/>
    <w:qFormat/>
    <w:rsid w:val="00ad62db"/>
    <w:rPr/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ad62db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867b3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uiPriority w:val="99"/>
    <w:qFormat/>
    <w:rsid w:val="005f49e8"/>
    <w:rPr>
      <w:sz w:val="24"/>
      <w:szCs w:val="24"/>
      <w:lang w:val="pt-BR"/>
    </w:rPr>
  </w:style>
  <w:style w:type="character" w:styleId="RodapChar" w:customStyle="1">
    <w:name w:val="Rodapé Char"/>
    <w:basedOn w:val="DefaultParagraphFont"/>
    <w:uiPriority w:val="99"/>
    <w:qFormat/>
    <w:rsid w:val="005f49e8"/>
    <w:rPr>
      <w:sz w:val="24"/>
      <w:szCs w:val="24"/>
      <w:lang w:val="pt-BR"/>
    </w:rPr>
  </w:style>
  <w:style w:type="character" w:styleId="Value" w:customStyle="1">
    <w:name w:val="value"/>
    <w:basedOn w:val="DefaultParagraphFont"/>
    <w:qFormat/>
    <w:rsid w:val="00737f1b"/>
    <w:rPr/>
  </w:style>
  <w:style w:type="character" w:styleId="Name" w:customStyle="1">
    <w:name w:val="name"/>
    <w:basedOn w:val="DefaultParagraphFont"/>
    <w:qFormat/>
    <w:rsid w:val="00737f1b"/>
    <w:rPr/>
  </w:style>
  <w:style w:type="character" w:styleId="Linkdainternetvisitado">
    <w:name w:val="Link da internet visitado"/>
    <w:basedOn w:val="DefaultParagraphFont"/>
    <w:uiPriority w:val="99"/>
    <w:semiHidden/>
    <w:unhideWhenUsed/>
    <w:rsid w:val="001a6904"/>
    <w:rPr>
      <w:color w:val="FF00FF" w:themeColor="followed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Onormal" w:customStyle="1">
    <w:name w:val="LO-normal"/>
    <w:qFormat/>
    <w:pPr>
      <w:widowControl/>
      <w:pBdr/>
      <w:suppressAutoHyphens w:val="true"/>
      <w:bidi w:val="0"/>
      <w:spacing w:before="0" w:after="0"/>
      <w:jc w:val="left"/>
    </w:pPr>
    <w:rPr>
      <w:rFonts w:ascii="Cambria" w:hAnsi="Cambria" w:cs="Arial Unicode MS" w:eastAsia="Arial Unicode MS"/>
      <w:color w:val="00000A"/>
      <w:kern w:val="0"/>
      <w:sz w:val="24"/>
      <w:szCs w:val="24"/>
      <w:u w:val="none" w:color="00000A"/>
      <w:lang w:val="en-US" w:eastAsia="en-US" w:bidi="ar-SA"/>
    </w:rPr>
  </w:style>
  <w:style w:type="paragraph" w:styleId="CabealhoeRodap" w:customStyle="1">
    <w:name w:val="Cabeçalho e Rodapé"/>
    <w:qFormat/>
    <w:pPr>
      <w:widowControl/>
      <w:pBdr/>
      <w:tabs>
        <w:tab w:val="clear" w:pos="720"/>
        <w:tab w:val="right" w:pos="9020" w:leader="none"/>
      </w:tabs>
      <w:bidi w:val="0"/>
      <w:spacing w:before="0" w:after="0"/>
      <w:jc w:val="left"/>
    </w:pPr>
    <w:rPr>
      <w:rFonts w:ascii="Helvetica Neue" w:hAnsi="Helvetica Neue" w:cs="Arial Unicode MS" w:eastAsia="Arial Unicode MS"/>
      <w:color w:val="000000"/>
      <w:kern w:val="0"/>
      <w:sz w:val="24"/>
      <w:szCs w:val="24"/>
      <w:lang w:val="en-US" w:eastAsia="en-US" w:bidi="ar-SA"/>
      <w14:textOutline w14:w="0" w14:cap="flat" w14:cmpd="sng" w14:algn="ctr">
        <w14:noFill/>
        <w14:prstDash w14:val="solid"/>
        <w14:bevel/>
      </w14:textOutline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ad62db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ad62db"/>
    <w:pPr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5f49e8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5f49e8"/>
    <w:pPr>
      <w:tabs>
        <w:tab w:val="clear" w:pos="720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1.jpeg"/><Relationship Id="rId5" Type="http://schemas.openxmlformats.org/officeDocument/2006/relationships/hyperlink" Target="https://doi.org/10.34188/bjaerv4n4-018. " TargetMode="External"/><Relationship Id="rId6" Type="http://schemas.openxmlformats.org/officeDocument/2006/relationships/hyperlink" Target="https://doi.org/10.22256/PUBVET.V11N5.527-531 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E8EDE-E6EC-4B44-B36E-C34E9DFCE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LibreOffice/7.3.2.2$Windows_X86_64 LibreOffice_project/49f2b1bff42cfccbd8f788c8dc32c1c309559be0</Application>
  <AppVersion>15.0000</AppVersion>
  <Pages>3</Pages>
  <Words>1536</Words>
  <Characters>8309</Characters>
  <CharactersWithSpaces>9797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2023-09-25T17:50:00Z</dcterms:created>
  <dc:creator>Elizabeth Schwegler</dc:creator>
  <dc:description/>
  <dc:language>pt-BR</dc:language>
  <cp:lastModifiedBy>Elizabeth Schwegler</cp:lastModifiedBy>
  <dcterms:modified xsi:type="dcterms:W3CDTF">2023-09-27T16:57:00Z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6992fe64dcb111b440524160e29ee8507ba9626122bb90a8beb6ed78e3c58f9c</vt:lpwstr>
  </property>
  <property fmtid="{D5CDD505-2E9C-101B-9397-08002B2CF9AE}" pid="3" name="Mendeley Citation Style_1">
    <vt:lpwstr>http://www.zotero.org/styles/associacao-brasileira-de-normas-tecnicas-ufrgs</vt:lpwstr>
  </property>
  <property fmtid="{D5CDD505-2E9C-101B-9397-08002B2CF9AE}" pid="4" name="Mendeley Document_1">
    <vt:lpwstr>True</vt:lpwstr>
  </property>
  <property fmtid="{D5CDD505-2E9C-101B-9397-08002B2CF9AE}" pid="5" name="Mendeley Recent Style Id 0_1">
    <vt:lpwstr>http://www.zotero.org/styles/chicago-author-date</vt:lpwstr>
  </property>
  <property fmtid="{D5CDD505-2E9C-101B-9397-08002B2CF9AE}" pid="6" name="Mendeley Recent Style Id 1_1">
    <vt:lpwstr>http://www.zotero.org/styles/harvard-cite-them-right</vt:lpwstr>
  </property>
  <property fmtid="{D5CDD505-2E9C-101B-9397-08002B2CF9AE}" pid="7" name="Mendeley Recent Style Id 2_1">
    <vt:lpwstr>http://www.zotero.org/styles/french4</vt:lpwstr>
  </property>
  <property fmtid="{D5CDD505-2E9C-101B-9397-08002B2CF9AE}" pid="8" name="Mendeley Recent Style Id 3_1">
    <vt:lpwstr>http://www.zotero.org/styles/ieee</vt:lpwstr>
  </property>
  <property fmtid="{D5CDD505-2E9C-101B-9397-08002B2CF9AE}" pid="9" name="Mendeley Recent Style Id 4_1">
    <vt:lpwstr>http://www.zotero.org/styles/journal-of-dairy-science</vt:lpwstr>
  </property>
  <property fmtid="{D5CDD505-2E9C-101B-9397-08002B2CF9AE}" pid="10" name="Mendeley Recent Style Id 5_1">
    <vt:lpwstr>http://www.zotero.org/styles/modern-humanities-research-association</vt:lpwstr>
  </property>
  <property fmtid="{D5CDD505-2E9C-101B-9397-08002B2CF9AE}" pid="11" name="Mendeley Recent Style Id 6_1">
    <vt:lpwstr>http://www.zotero.org/styles/modern-language-association</vt:lpwstr>
  </property>
  <property fmtid="{D5CDD505-2E9C-101B-9397-08002B2CF9AE}" pid="12" name="Mendeley Recent Style Id 7_1">
    <vt:lpwstr>http://www.zotero.org/styles/nature</vt:lpwstr>
  </property>
  <property fmtid="{D5CDD505-2E9C-101B-9397-08002B2CF9AE}" pid="13" name="Mendeley Recent Style Id 8_1">
    <vt:lpwstr>http://www.zotero.org/styles/processes</vt:lpwstr>
  </property>
  <property fmtid="{D5CDD505-2E9C-101B-9397-08002B2CF9AE}" pid="14" name="Mendeley Recent Style Id 9_1">
    <vt:lpwstr>http://www.zotero.org/styles/associacao-brasileira-de-normas-tecnicas-ufrgs</vt:lpwstr>
  </property>
  <property fmtid="{D5CDD505-2E9C-101B-9397-08002B2CF9AE}" pid="15" name="Mendeley Recent Style Name 0_1">
    <vt:lpwstr>Chicago Manual of Style 17th edition (author-date)</vt:lpwstr>
  </property>
  <property fmtid="{D5CDD505-2E9C-101B-9397-08002B2CF9AE}" pid="16" name="Mendeley Recent Style Name 1_1">
    <vt:lpwstr>Cite Them Right 10th edition - Harvard</vt:lpwstr>
  </property>
  <property fmtid="{D5CDD505-2E9C-101B-9397-08002B2CF9AE}" pid="17" name="Mendeley Recent Style Name 2_1">
    <vt:lpwstr>France (auteurs et al., auteur-date, French)</vt:lpwstr>
  </property>
  <property fmtid="{D5CDD505-2E9C-101B-9397-08002B2CF9AE}" pid="18" name="Mendeley Recent Style Name 3_1">
    <vt:lpwstr>IEEE</vt:lpwstr>
  </property>
  <property fmtid="{D5CDD505-2E9C-101B-9397-08002B2CF9AE}" pid="19" name="Mendeley Recent Style Name 4_1">
    <vt:lpwstr>Journal of Dairy Science</vt:lpwstr>
  </property>
  <property fmtid="{D5CDD505-2E9C-101B-9397-08002B2CF9AE}" pid="20" name="Mendeley Recent Style Name 5_1">
    <vt:lpwstr>Modern Humanities Research Association 3rd edition (note with bibliography)</vt:lpwstr>
  </property>
  <property fmtid="{D5CDD505-2E9C-101B-9397-08002B2CF9AE}" pid="21" name="Mendeley Recent Style Name 6_1">
    <vt:lpwstr>Modern Language Association 8th edition</vt:lpwstr>
  </property>
  <property fmtid="{D5CDD505-2E9C-101B-9397-08002B2CF9AE}" pid="22" name="Mendeley Recent Style Name 7_1">
    <vt:lpwstr>Nature</vt:lpwstr>
  </property>
  <property fmtid="{D5CDD505-2E9C-101B-9397-08002B2CF9AE}" pid="23" name="Mendeley Recent Style Name 8_1">
    <vt:lpwstr>Processes</vt:lpwstr>
  </property>
  <property fmtid="{D5CDD505-2E9C-101B-9397-08002B2CF9AE}" pid="24" name="Mendeley Recent Style Name 9_1">
    <vt:lpwstr>Universidade Federal do Rio Grande do Sul - ABNT (autoria completa) (Portuguese - Brazil)</vt:lpwstr>
  </property>
  <property fmtid="{D5CDD505-2E9C-101B-9397-08002B2CF9AE}" pid="25" name="Mendeley Unique User Id_1">
    <vt:lpwstr>aad0786f-e52e-30bf-bedb-a825b0ea8f4d</vt:lpwstr>
  </property>
</Properties>
</file>