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ind w:right="284" w:hanging="0"/>
        <w:jc w:val="center"/>
        <w:rPr>
          <w:rFonts w:ascii="Arial" w:hAnsi="Arial" w:eastAsia="Arial" w:cs="Arial"/>
          <w:color w:val="000000"/>
          <w:sz w:val="22"/>
          <w:szCs w:val="22"/>
          <w:u w:val="none" w:color="000000"/>
          <w:lang w:val="pt-BR"/>
        </w:rPr>
      </w:pPr>
      <w:r>
        <w:rPr>
          <w:rFonts w:ascii="Arial" w:hAnsi="Arial"/>
          <w:b/>
          <w:bCs/>
          <w:color w:val="000000"/>
          <w:sz w:val="28"/>
          <w:szCs w:val="28"/>
          <w:u w:val="none" w:color="000000"/>
          <w:lang w:val="pt-BR"/>
        </w:rPr>
        <w:t>DETERMINAÇÃO DA TOLERÂNCIA À GEADA DE CULTIVARES DE FORRAGEIRAS PERENES DE VERÃO</w:t>
      </w:r>
    </w:p>
    <w:p>
      <w:pPr>
        <w:pStyle w:val="LOnormal"/>
        <w:ind w:right="284" w:hanging="0"/>
        <w:jc w:val="center"/>
        <w:rPr>
          <w:rFonts w:ascii="Arial" w:hAnsi="Arial"/>
          <w:color w:val="000000"/>
          <w:sz w:val="20"/>
          <w:szCs w:val="20"/>
          <w:u w:val="none" w:color="000000"/>
          <w:lang w:val="pt-BR"/>
        </w:rPr>
      </w:pPr>
      <w:r>
        <w:rPr>
          <w:rFonts w:ascii="Arial" w:hAnsi="Arial"/>
          <w:color w:val="000000"/>
          <w:sz w:val="20"/>
          <w:szCs w:val="20"/>
          <w:u w:val="none" w:color="000000"/>
          <w:lang w:val="pt-BR"/>
        </w:rPr>
      </w:r>
    </w:p>
    <w:p>
      <w:pPr>
        <w:pStyle w:val="LOnormal"/>
        <w:ind w:right="284" w:hanging="0"/>
        <w:jc w:val="center"/>
        <w:rPr>
          <w:rFonts w:ascii="Arial" w:hAnsi="Arial" w:eastAsia="Arial" w:cs="Arial"/>
          <w:color w:val="000000"/>
          <w:sz w:val="20"/>
          <w:szCs w:val="20"/>
          <w:u w:val="none" w:color="000000"/>
          <w:lang w:val="pt-BR"/>
        </w:rPr>
      </w:pPr>
      <w:r>
        <w:rPr>
          <w:rFonts w:ascii="Arial" w:hAnsi="Arial"/>
          <w:color w:val="000000"/>
          <w:sz w:val="20"/>
          <w:szCs w:val="20"/>
          <w:u w:val="none" w:color="000000"/>
          <w:lang w:val="pt-BR"/>
        </w:rPr>
        <w:t>Cleverson Antonio Sbruzzi</w:t>
      </w:r>
      <w:r>
        <w:rPr>
          <w:rFonts w:ascii="Arial" w:hAnsi="Arial"/>
          <w:color w:val="000000"/>
          <w:sz w:val="20"/>
          <w:szCs w:val="20"/>
          <w:u w:val="none" w:color="000000"/>
          <w:vertAlign w:val="superscript"/>
          <w:lang w:val="pt-BR"/>
        </w:rPr>
        <w:t>1</w:t>
      </w:r>
      <w:r>
        <w:rPr>
          <w:rFonts w:ascii="Arial" w:hAnsi="Arial"/>
          <w:color w:val="000000"/>
          <w:sz w:val="20"/>
          <w:szCs w:val="20"/>
          <w:u w:val="none" w:color="000000"/>
          <w:lang w:val="pt-BR"/>
        </w:rPr>
        <w:t>, Gustavo Krahl</w:t>
      </w:r>
      <w:r>
        <w:rPr>
          <w:rFonts w:ascii="Arial" w:hAnsi="Arial"/>
          <w:color w:val="000000"/>
          <w:sz w:val="20"/>
          <w:szCs w:val="20"/>
          <w:u w:val="none" w:color="000000"/>
          <w:vertAlign w:val="superscript"/>
          <w:lang w:val="pt-BR"/>
        </w:rPr>
        <w:t>2</w:t>
      </w:r>
      <w:r>
        <w:rPr>
          <w:rFonts w:ascii="Arial" w:hAnsi="Arial"/>
          <w:color w:val="000000"/>
          <w:sz w:val="20"/>
          <w:szCs w:val="20"/>
          <w:u w:val="none" w:color="000000"/>
          <w:lang w:val="pt-BR"/>
        </w:rPr>
        <w:t xml:space="preserve">, </w:t>
      </w:r>
      <w:r>
        <w:rPr>
          <w:rFonts w:ascii="Arial" w:hAnsi="Arial"/>
          <w:color w:val="000000"/>
          <w:sz w:val="20"/>
          <w:szCs w:val="20"/>
          <w:u w:val="single" w:color="000000"/>
          <w:lang w:val="pt-BR"/>
        </w:rPr>
        <w:t>Daniel Augusto Barreta</w:t>
      </w:r>
      <w:r>
        <w:rPr>
          <w:rFonts w:ascii="Arial" w:hAnsi="Arial"/>
          <w:color w:val="000000"/>
          <w:sz w:val="20"/>
          <w:szCs w:val="20"/>
          <w:u w:val="none" w:color="000000"/>
          <w:vertAlign w:val="superscript"/>
          <w:lang w:val="pt-BR"/>
        </w:rPr>
        <w:t>1</w:t>
      </w:r>
    </w:p>
    <w:p>
      <w:pPr>
        <w:pStyle w:val="LOnormal"/>
        <w:ind w:right="284" w:hanging="0"/>
        <w:jc w:val="center"/>
        <w:rPr>
          <w:rFonts w:ascii="Arial" w:hAnsi="Arial" w:eastAsia="Arial" w:cs="Arial"/>
          <w:color w:val="000000"/>
          <w:sz w:val="20"/>
          <w:szCs w:val="20"/>
          <w:u w:val="none" w:color="000000"/>
          <w:lang w:val="pt-BR"/>
        </w:rPr>
      </w:pPr>
      <w:r>
        <w:rPr>
          <w:rFonts w:eastAsia="Arial" w:cs="Arial" w:ascii="Arial" w:hAnsi="Arial"/>
          <w:color w:val="000000"/>
          <w:sz w:val="20"/>
          <w:szCs w:val="20"/>
          <w:u w:val="none" w:color="000000"/>
          <w:lang w:val="pt-BR"/>
        </w:rPr>
      </w:r>
    </w:p>
    <w:p>
      <w:pPr>
        <w:pStyle w:val="LOnormal"/>
        <w:ind w:right="284" w:hanging="0"/>
        <w:jc w:val="center"/>
        <w:rPr>
          <w:rFonts w:ascii="Arial" w:hAnsi="Arial" w:eastAsia="Arial" w:cs="Arial"/>
          <w:color w:val="000000"/>
          <w:sz w:val="20"/>
          <w:szCs w:val="20"/>
          <w:u w:val="none" w:color="000000"/>
          <w:lang w:val="pt-BR"/>
        </w:rPr>
      </w:pPr>
      <w:r>
        <w:rPr>
          <w:rFonts w:ascii="Arial" w:hAnsi="Arial"/>
          <w:color w:val="000000"/>
          <w:sz w:val="20"/>
          <w:szCs w:val="20"/>
          <w:u w:val="none" w:color="000000"/>
          <w:vertAlign w:val="superscript"/>
          <w:lang w:val="pt-BR"/>
        </w:rPr>
        <w:t xml:space="preserve">1 </w:t>
      </w:r>
      <w:r>
        <w:rPr>
          <w:rFonts w:ascii="Arial" w:hAnsi="Arial"/>
          <w:color w:val="000000"/>
          <w:sz w:val="20"/>
          <w:szCs w:val="20"/>
          <w:u w:val="none" w:color="000000"/>
          <w:lang w:val="pt-BR"/>
        </w:rPr>
        <w:t xml:space="preserve">Universidade do Oeste de Santa Catarina – UNOESC, Xanxerê-SC, </w:t>
      </w:r>
      <w:r>
        <w:rPr>
          <w:rFonts w:ascii="Arial" w:hAnsi="Arial"/>
          <w:color w:val="000000"/>
          <w:sz w:val="20"/>
          <w:szCs w:val="20"/>
          <w:u w:val="none" w:color="000000"/>
          <w:vertAlign w:val="superscript"/>
          <w:lang w:val="pt-BR"/>
        </w:rPr>
        <w:t xml:space="preserve">2 </w:t>
      </w:r>
      <w:r>
        <w:rPr>
          <w:rFonts w:ascii="Arial" w:hAnsi="Arial"/>
          <w:color w:val="000000"/>
          <w:sz w:val="20"/>
          <w:szCs w:val="20"/>
          <w:u w:val="none" w:color="000000"/>
          <w:lang w:val="pt-BR"/>
        </w:rPr>
        <w:t xml:space="preserve">Vitamix Nutrição Animal, Nova Itaberaba-SC, E-mail: </w:t>
      </w:r>
      <w:hyperlink r:id="rId2">
        <w:r>
          <w:rPr>
            <w:rStyle w:val="LinkdaInternet"/>
            <w:rFonts w:ascii="Arial" w:hAnsi="Arial"/>
            <w:sz w:val="20"/>
            <w:szCs w:val="20"/>
            <w:u w:val="none"/>
            <w:lang w:val="pt-BR"/>
          </w:rPr>
          <w:t>da.barreta@unoesc.edu.br</w:t>
        </w:r>
      </w:hyperlink>
    </w:p>
    <w:p>
      <w:pPr>
        <w:pStyle w:val="LOnormal"/>
        <w:ind w:right="284" w:hanging="0"/>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jc w:val="both"/>
        <w:rPr>
          <w:rFonts w:ascii="Arial" w:hAnsi="Arial"/>
          <w:color w:val="000000"/>
          <w:sz w:val="22"/>
          <w:szCs w:val="22"/>
          <w:u w:val="none" w:color="000000"/>
          <w:lang w:val="pt-BR"/>
        </w:rPr>
      </w:pPr>
      <w:r>
        <w:rPr>
          <w:rFonts w:cs="Arial" w:ascii="Arial" w:hAnsi="Arial"/>
          <w:b/>
          <w:bCs/>
          <w:color w:val="000000"/>
          <w:sz w:val="22"/>
          <w:szCs w:val="22"/>
          <w:u w:val="none" w:color="000000"/>
          <w:lang w:val="pt-BR"/>
        </w:rPr>
        <w:t>Contribuição para a sociedade</w:t>
      </w:r>
      <w:r>
        <w:rPr>
          <w:rFonts w:cs="Arial" w:ascii="Arial" w:hAnsi="Arial"/>
          <w:color w:val="000000"/>
          <w:sz w:val="22"/>
          <w:szCs w:val="22"/>
          <w:u w:val="none" w:color="000000"/>
          <w:lang w:val="pt-BR"/>
        </w:rPr>
        <w:t>:</w:t>
      </w:r>
      <w:r>
        <w:rPr>
          <w:rFonts w:cs="Arial" w:ascii="Arial" w:hAnsi="Arial"/>
          <w:sz w:val="22"/>
          <w:szCs w:val="22"/>
          <w:lang w:val="pt-BR"/>
        </w:rPr>
        <w:t xml:space="preserve"> </w:t>
      </w:r>
      <w:r>
        <w:rPr>
          <w:rFonts w:ascii="Arial" w:hAnsi="Arial"/>
          <w:color w:val="000000"/>
          <w:sz w:val="22"/>
          <w:szCs w:val="22"/>
          <w:u w:val="none" w:color="000000"/>
          <w:lang w:val="pt-BR"/>
        </w:rPr>
        <w:t>Nossos achados sinalizam a necessidade de se conduzir estudos sítio específicos, a fim de descrever como diversas espécies de plantas respondem as condições ambientais, uma vez que algumas espécies (ex: Capim Braúna e Mavuno) podem ser consideradas como tolerantes ao frio, mas que em condições de invernos mais rigorosos não demonstram tal característica. Este tipo de desalinhamento de informações pode levar ao posicionamento inadequado de cultivares e perda de persistência das pastagens, com implicações práticas no manejo das propriedades, especialmente em regiões com ocorrência considerável de geadas.</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jc w:val="both"/>
        <w:rPr>
          <w:lang w:val="pt-BR"/>
        </w:rPr>
      </w:pPr>
      <w:r>
        <w:rPr>
          <w:rFonts w:ascii="Arial" w:hAnsi="Arial"/>
          <w:b/>
          <w:bCs/>
          <w:color w:val="000000"/>
          <w:sz w:val="22"/>
          <w:szCs w:val="22"/>
          <w:u w:val="none" w:color="000000"/>
          <w:lang w:val="pt-BR"/>
        </w:rPr>
        <w:t>Palavras-chave</w:t>
      </w:r>
      <w:r>
        <w:rPr>
          <w:rFonts w:ascii="Arial" w:hAnsi="Arial"/>
          <w:color w:val="000000"/>
          <w:sz w:val="22"/>
          <w:szCs w:val="22"/>
          <w:u w:val="none" w:color="000000"/>
          <w:lang w:val="pt-BR"/>
        </w:rPr>
        <w:t>: braquiária, clima subtropical, persistência.</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jc w:val="both"/>
        <w:rPr>
          <w:rFonts w:ascii="Arial" w:hAnsi="Arial"/>
          <w:color w:val="000000"/>
          <w:sz w:val="22"/>
          <w:szCs w:val="22"/>
          <w:u w:val="none" w:color="000000"/>
          <w:lang w:val="pt-BR"/>
        </w:rPr>
      </w:pPr>
      <w:r>
        <w:rPr>
          <w:rFonts w:ascii="Arial" w:hAnsi="Arial"/>
          <w:b/>
          <w:bCs/>
          <w:color w:val="000000"/>
          <w:sz w:val="22"/>
          <w:szCs w:val="22"/>
          <w:u w:val="none" w:color="000000"/>
          <w:lang w:val="pt-BR"/>
        </w:rPr>
        <w:t>Introdução:</w:t>
      </w:r>
      <w:r>
        <w:rPr>
          <w:rFonts w:ascii="Arial" w:hAnsi="Arial"/>
          <w:color w:val="000000"/>
          <w:sz w:val="22"/>
          <w:szCs w:val="22"/>
          <w:u w:val="none" w:color="000000"/>
          <w:lang w:val="pt-BR"/>
        </w:rPr>
        <w:t xml:space="preserve"> A região Sul do Brasil está majoritariamente sob o clima subtropical, caraterístico por apresentar estações climáticas bem definidas e ausência de estação seca. Este cenário possibilita o cultivo de espécies estivais e hibernais (SBRISSIA et al., 2017). No contexto das espécies perenes de verão, um atributo importante destas plantas é a sua capacidade de tolerar a estação fria, sem comprometer sua perenidade na área. </w:t>
      </w:r>
    </w:p>
    <w:p>
      <w:pPr>
        <w:pStyle w:val="LOnormal"/>
        <w:jc w:val="both"/>
        <w:rPr>
          <w:rFonts w:ascii="Arial" w:hAnsi="Arial"/>
          <w:color w:val="000000"/>
          <w:sz w:val="22"/>
          <w:szCs w:val="22"/>
          <w:u w:val="none" w:color="000000"/>
          <w:lang w:val="pt-BR"/>
        </w:rPr>
      </w:pPr>
      <w:r>
        <w:rPr>
          <w:rFonts w:ascii="Arial" w:hAnsi="Arial"/>
          <w:color w:val="000000"/>
          <w:sz w:val="22"/>
          <w:szCs w:val="22"/>
          <w:u w:val="none" w:color="000000"/>
          <w:lang w:val="pt-BR"/>
        </w:rPr>
        <w:t>Apesar disso, são escassas na literatura informações técnicas que avaliem a resistência de espécies perenes de verão em condições de clima subtropical. Além disso, algumas cultivares apresentam em sua ficha técnica a característica “tolerante a baixas temperaturas”, entretanto, o termo referido é ambíguo, uma vez que baixas temperaturas em regiões de clima tropical (A) normalmente não apresentam ocorrência de geadas (PEDREIRA et al., 2001).</w:t>
      </w:r>
    </w:p>
    <w:p>
      <w:pPr>
        <w:pStyle w:val="LOnormal"/>
        <w:jc w:val="both"/>
        <w:rPr>
          <w:rFonts w:ascii="Arial" w:hAnsi="Arial"/>
          <w:color w:val="000000"/>
          <w:sz w:val="22"/>
          <w:szCs w:val="22"/>
          <w:u w:val="none" w:color="000000"/>
          <w:lang w:val="pt-BR"/>
        </w:rPr>
      </w:pPr>
      <w:r>
        <w:rPr>
          <w:rFonts w:ascii="Arial" w:hAnsi="Arial"/>
          <w:color w:val="000000"/>
          <w:sz w:val="22"/>
          <w:szCs w:val="22"/>
          <w:u w:val="none" w:color="000000"/>
          <w:lang w:val="pt-BR"/>
        </w:rPr>
        <w:t>O objetivo deste trabalho foi determinar quais espécies forrageiras perenes de verão adaptam-se melhor as condições de inverno em uma região de clima subtropical.</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Normal"/>
        <w:jc w:val="both"/>
        <w:rPr>
          <w:rFonts w:ascii="Arial" w:hAnsi="Arial" w:eastAsia="Times New Roman" w:cs="Arial"/>
          <w:sz w:val="22"/>
          <w:szCs w:val="22"/>
          <w:lang w:val="pt-BR" w:eastAsia="pt-BR"/>
        </w:rPr>
      </w:pPr>
      <w:bookmarkStart w:id="0" w:name="_headingh.30j0zll"/>
      <w:bookmarkEnd w:id="0"/>
      <w:r>
        <w:rPr>
          <w:rFonts w:ascii="Arial" w:hAnsi="Arial"/>
          <w:b/>
          <w:bCs/>
          <w:color w:val="000000"/>
          <w:sz w:val="22"/>
          <w:szCs w:val="22"/>
          <w:u w:val="none" w:color="000000"/>
          <w:lang w:val="pt-BR"/>
        </w:rPr>
        <w:t>Material e métodos:</w:t>
      </w:r>
      <w:r>
        <w:rPr>
          <w:rFonts w:ascii="Arial" w:hAnsi="Arial"/>
          <w:color w:val="000000"/>
          <w:sz w:val="22"/>
          <w:szCs w:val="22"/>
          <w:u w:val="none" w:color="000000"/>
          <w:lang w:val="pt-BR"/>
        </w:rPr>
        <w:t xml:space="preserve"> </w:t>
      </w:r>
      <w:r>
        <w:rPr>
          <w:rFonts w:eastAsia="Times New Roman" w:cs="Arial" w:ascii="Arial" w:hAnsi="Arial"/>
          <w:sz w:val="22"/>
          <w:szCs w:val="22"/>
          <w:lang w:val="pt-BR" w:eastAsia="pt-BR"/>
        </w:rPr>
        <w:t xml:space="preserve">O experimento foi conduzido em </w:t>
      </w:r>
      <w:bookmarkStart w:id="1" w:name="_Hlk134091869"/>
      <w:r>
        <w:rPr>
          <w:rFonts w:eastAsia="Times New Roman" w:cs="Arial" w:ascii="Arial" w:hAnsi="Arial"/>
          <w:sz w:val="22"/>
          <w:szCs w:val="22"/>
          <w:lang w:val="pt-BR" w:eastAsia="pt-BR"/>
        </w:rPr>
        <w:t>Vargeão – SC</w:t>
      </w:r>
      <w:bookmarkEnd w:id="1"/>
      <w:r>
        <w:rPr>
          <w:rFonts w:eastAsia="Times New Roman" w:cs="Arial" w:ascii="Arial" w:hAnsi="Arial"/>
          <w:sz w:val="22"/>
          <w:szCs w:val="22"/>
          <w:lang w:val="pt-BR" w:eastAsia="pt-BR"/>
        </w:rPr>
        <w:t xml:space="preserve">. O clima do local segundo a classificação de Koeppen é subtropical úmido com verões quentes (Cfa). </w:t>
      </w:r>
      <w:bookmarkStart w:id="2" w:name="_Hlk134091922"/>
      <w:r>
        <w:rPr>
          <w:rFonts w:eastAsia="Times New Roman" w:cs="Arial" w:ascii="Arial" w:hAnsi="Arial"/>
          <w:sz w:val="22"/>
          <w:szCs w:val="22"/>
          <w:lang w:val="pt-BR" w:eastAsia="pt-BR"/>
        </w:rPr>
        <w:t xml:space="preserve">A seleção das espécies para avaliação ocorreu em função da frequência de uso na região Oeste de Santa Catarina (Jochims et al., 2017). </w:t>
      </w:r>
      <w:bookmarkStart w:id="3" w:name="_Hlk137374233"/>
      <w:r>
        <w:rPr>
          <w:rFonts w:eastAsia="Times New Roman" w:cs="Arial" w:ascii="Arial" w:hAnsi="Arial"/>
          <w:sz w:val="22"/>
          <w:szCs w:val="22"/>
          <w:lang w:val="pt-BR" w:eastAsia="pt-BR"/>
        </w:rPr>
        <w:t xml:space="preserve">As espécies utilizadas foram: </w:t>
      </w:r>
      <w:bookmarkStart w:id="4" w:name="_Hlk134107885"/>
      <w:r>
        <w:rPr>
          <w:rFonts w:eastAsia="Times New Roman" w:cs="Arial" w:ascii="Arial" w:hAnsi="Arial"/>
          <w:sz w:val="22"/>
          <w:szCs w:val="22"/>
          <w:lang w:val="pt-BR" w:eastAsia="pt-BR"/>
        </w:rPr>
        <w:t>Capim Áries (</w:t>
      </w:r>
      <w:r>
        <w:rPr>
          <w:rFonts w:eastAsia="Times New Roman" w:cs="Arial" w:ascii="Arial" w:hAnsi="Arial"/>
          <w:i/>
          <w:sz w:val="22"/>
          <w:szCs w:val="22"/>
          <w:lang w:val="pt-BR" w:eastAsia="pt-BR"/>
        </w:rPr>
        <w:t>Panicum maximum</w:t>
      </w:r>
      <w:r>
        <w:rPr>
          <w:rFonts w:eastAsia="Times New Roman" w:cs="Arial" w:ascii="Arial" w:hAnsi="Arial"/>
          <w:sz w:val="22"/>
          <w:szCs w:val="22"/>
          <w:lang w:val="pt-BR" w:eastAsia="pt-BR"/>
        </w:rPr>
        <w:t xml:space="preserve"> cv. Aries), Aruana (</w:t>
      </w:r>
      <w:r>
        <w:rPr>
          <w:rFonts w:eastAsia="Times New Roman" w:cs="Arial" w:ascii="Arial" w:hAnsi="Arial"/>
          <w:i/>
          <w:sz w:val="22"/>
          <w:szCs w:val="22"/>
          <w:lang w:val="pt-BR" w:eastAsia="pt-BR"/>
        </w:rPr>
        <w:t>Panicum maximum</w:t>
      </w:r>
      <w:r>
        <w:rPr>
          <w:rFonts w:eastAsia="Times New Roman" w:cs="Arial" w:ascii="Arial" w:hAnsi="Arial"/>
          <w:sz w:val="22"/>
          <w:szCs w:val="22"/>
          <w:lang w:val="pt-BR" w:eastAsia="pt-BR"/>
        </w:rPr>
        <w:t xml:space="preserve"> cv. Aruana), Braúna (</w:t>
      </w:r>
      <w:r>
        <w:rPr>
          <w:rFonts w:eastAsia="Times New Roman" w:cs="Arial" w:ascii="Arial" w:hAnsi="Arial"/>
          <w:i/>
          <w:sz w:val="22"/>
          <w:szCs w:val="22"/>
          <w:lang w:val="pt-BR" w:eastAsia="pt-BR"/>
        </w:rPr>
        <w:t xml:space="preserve">Brachiaria brizantha </w:t>
      </w:r>
      <w:r>
        <w:rPr>
          <w:rFonts w:eastAsia="Times New Roman" w:cs="Arial" w:ascii="Arial" w:hAnsi="Arial"/>
          <w:iCs/>
          <w:sz w:val="22"/>
          <w:szCs w:val="22"/>
          <w:lang w:val="pt-BR" w:eastAsia="pt-BR"/>
        </w:rPr>
        <w:t>cv.</w:t>
      </w:r>
      <w:r>
        <w:rPr>
          <w:rFonts w:eastAsia="Times New Roman" w:cs="Arial" w:ascii="Arial" w:hAnsi="Arial"/>
          <w:i/>
          <w:sz w:val="22"/>
          <w:szCs w:val="22"/>
          <w:lang w:val="pt-BR" w:eastAsia="pt-BR"/>
        </w:rPr>
        <w:t xml:space="preserve"> </w:t>
      </w:r>
      <w:r>
        <w:rPr>
          <w:rFonts w:eastAsia="Times New Roman" w:cs="Arial" w:ascii="Arial" w:hAnsi="Arial"/>
          <w:sz w:val="22"/>
          <w:szCs w:val="22"/>
          <w:lang w:val="pt-BR" w:eastAsia="pt-BR"/>
        </w:rPr>
        <w:t>Braúna), Paredão (</w:t>
      </w:r>
      <w:r>
        <w:rPr>
          <w:rFonts w:eastAsia="Times New Roman" w:cs="Arial" w:ascii="Arial" w:hAnsi="Arial"/>
          <w:i/>
          <w:sz w:val="22"/>
          <w:szCs w:val="22"/>
          <w:lang w:val="pt-BR" w:eastAsia="pt-BR"/>
        </w:rPr>
        <w:t>Panicum maximum</w:t>
      </w:r>
      <w:r>
        <w:rPr>
          <w:rFonts w:eastAsia="Times New Roman" w:cs="Arial" w:ascii="Arial" w:hAnsi="Arial"/>
          <w:sz w:val="22"/>
          <w:szCs w:val="22"/>
          <w:lang w:val="pt-BR" w:eastAsia="pt-BR"/>
        </w:rPr>
        <w:t xml:space="preserve"> cv. Paredão), Prima (</w:t>
      </w:r>
      <w:r>
        <w:rPr>
          <w:rFonts w:eastAsia="Times New Roman" w:cs="Arial" w:ascii="Arial" w:hAnsi="Arial"/>
          <w:i/>
          <w:color w:val="202124"/>
          <w:sz w:val="22"/>
          <w:szCs w:val="22"/>
          <w:lang w:val="pt-BR" w:eastAsia="pt-BR"/>
        </w:rPr>
        <w:t>Pennisetum sp.</w:t>
      </w:r>
      <w:r>
        <w:rPr>
          <w:rFonts w:eastAsia="Times New Roman" w:cs="Arial" w:ascii="Arial" w:hAnsi="Arial"/>
          <w:color w:val="202124"/>
          <w:sz w:val="22"/>
          <w:szCs w:val="22"/>
          <w:lang w:val="pt-BR" w:eastAsia="pt-BR"/>
        </w:rPr>
        <w:t>),</w:t>
      </w:r>
      <w:r>
        <w:rPr>
          <w:rFonts w:eastAsia="Times New Roman" w:cs="Arial" w:ascii="Arial" w:hAnsi="Arial"/>
          <w:sz w:val="22"/>
          <w:szCs w:val="22"/>
          <w:lang w:val="pt-BR" w:eastAsia="pt-BR"/>
        </w:rPr>
        <w:t xml:space="preserve"> Mavuno (</w:t>
      </w:r>
      <w:r>
        <w:rPr>
          <w:rFonts w:eastAsia="Times New Roman" w:cs="Arial" w:ascii="Arial" w:hAnsi="Arial"/>
          <w:i/>
          <w:sz w:val="22"/>
          <w:szCs w:val="22"/>
          <w:lang w:val="pt-BR" w:eastAsia="pt-BR"/>
        </w:rPr>
        <w:t>Brachiaria ruziziensis x Brachiaria brizantha</w:t>
      </w:r>
      <w:r>
        <w:rPr>
          <w:rFonts w:eastAsia="Times New Roman" w:cs="Arial" w:ascii="Arial" w:hAnsi="Arial"/>
          <w:sz w:val="22"/>
          <w:szCs w:val="22"/>
          <w:lang w:val="pt-BR" w:eastAsia="pt-BR"/>
        </w:rPr>
        <w:t>), Braquiária MG-5 (</w:t>
      </w:r>
      <w:r>
        <w:rPr>
          <w:rFonts w:eastAsia="Times New Roman" w:cs="Arial" w:ascii="Arial" w:hAnsi="Arial"/>
          <w:i/>
          <w:sz w:val="22"/>
          <w:szCs w:val="22"/>
          <w:lang w:val="pt-BR" w:eastAsia="pt-BR"/>
        </w:rPr>
        <w:t>Brachiaria brizantha</w:t>
      </w:r>
      <w:r>
        <w:rPr>
          <w:rFonts w:eastAsia="Times New Roman" w:cs="Arial" w:ascii="Arial" w:hAnsi="Arial"/>
          <w:sz w:val="22"/>
          <w:szCs w:val="22"/>
          <w:lang w:val="pt-BR" w:eastAsia="pt-BR"/>
        </w:rPr>
        <w:t xml:space="preserve"> cv. MG-5),</w:t>
      </w:r>
      <w:r>
        <w:rPr>
          <w:rFonts w:eastAsia="Times New Roman" w:cs="Arial" w:ascii="Arial" w:hAnsi="Arial"/>
          <w:color w:val="555555"/>
          <w:sz w:val="22"/>
          <w:szCs w:val="22"/>
          <w:highlight w:val="white"/>
          <w:lang w:val="pt-BR" w:eastAsia="pt-BR"/>
        </w:rPr>
        <w:t xml:space="preserve"> </w:t>
      </w:r>
      <w:r>
        <w:rPr>
          <w:rFonts w:eastAsia="Times New Roman" w:cs="Arial" w:ascii="Arial" w:hAnsi="Arial"/>
          <w:sz w:val="22"/>
          <w:szCs w:val="22"/>
          <w:lang w:val="pt-BR" w:eastAsia="pt-BR"/>
        </w:rPr>
        <w:t>Tangola (</w:t>
      </w:r>
      <w:r>
        <w:rPr>
          <w:rFonts w:eastAsia="Times New Roman" w:cs="Arial" w:ascii="Arial" w:hAnsi="Arial"/>
          <w:i/>
          <w:sz w:val="22"/>
          <w:szCs w:val="22"/>
          <w:lang w:val="pt-BR" w:eastAsia="pt-BR"/>
        </w:rPr>
        <w:t>Brachiaria arrecta x Brachiaria mutica</w:t>
      </w:r>
      <w:r>
        <w:rPr>
          <w:rFonts w:eastAsia="Times New Roman" w:cs="Arial" w:ascii="Arial" w:hAnsi="Arial"/>
          <w:sz w:val="22"/>
          <w:szCs w:val="22"/>
          <w:lang w:val="pt-BR" w:eastAsia="pt-BR"/>
        </w:rPr>
        <w:t>), Tifton 85 (</w:t>
      </w:r>
      <w:r>
        <w:rPr>
          <w:rFonts w:eastAsia="Times New Roman" w:cs="Arial" w:ascii="Arial" w:hAnsi="Arial"/>
          <w:i/>
          <w:color w:val="222222"/>
          <w:sz w:val="22"/>
          <w:szCs w:val="22"/>
          <w:highlight w:val="white"/>
          <w:lang w:val="pt-BR" w:eastAsia="pt-BR"/>
        </w:rPr>
        <w:t xml:space="preserve">Cynodon </w:t>
      </w:r>
      <w:r>
        <w:rPr>
          <w:rFonts w:eastAsia="Times New Roman" w:cs="Arial" w:ascii="Arial" w:hAnsi="Arial"/>
          <w:iCs/>
          <w:color w:val="222222"/>
          <w:sz w:val="22"/>
          <w:szCs w:val="22"/>
          <w:highlight w:val="white"/>
          <w:lang w:val="pt-BR" w:eastAsia="pt-BR"/>
        </w:rPr>
        <w:t xml:space="preserve">spp.) </w:t>
      </w:r>
      <w:r>
        <w:rPr>
          <w:rFonts w:eastAsia="Times New Roman" w:cs="Arial" w:ascii="Arial" w:hAnsi="Arial"/>
          <w:color w:val="222222"/>
          <w:sz w:val="22"/>
          <w:szCs w:val="22"/>
          <w:lang w:val="pt-BR" w:eastAsia="pt-BR"/>
        </w:rPr>
        <w:t>e</w:t>
      </w:r>
      <w:r>
        <w:rPr>
          <w:rFonts w:eastAsia="Times New Roman" w:cs="Arial" w:ascii="Arial" w:hAnsi="Arial"/>
          <w:sz w:val="22"/>
          <w:szCs w:val="22"/>
          <w:lang w:val="pt-BR" w:eastAsia="pt-BR"/>
        </w:rPr>
        <w:t xml:space="preserve"> Missioneira Gigante (</w:t>
      </w:r>
      <w:r>
        <w:rPr>
          <w:rFonts w:eastAsia="Times New Roman" w:cs="Arial" w:ascii="Arial" w:hAnsi="Arial"/>
          <w:i/>
          <w:sz w:val="22"/>
          <w:szCs w:val="22"/>
          <w:lang w:val="pt-BR" w:eastAsia="pt-BR"/>
        </w:rPr>
        <w:t>Axonopus catharinensis</w:t>
      </w:r>
      <w:r>
        <w:rPr>
          <w:rFonts w:eastAsia="Times New Roman" w:cs="Arial" w:ascii="Arial" w:hAnsi="Arial"/>
          <w:sz w:val="22"/>
          <w:szCs w:val="22"/>
          <w:lang w:val="pt-BR" w:eastAsia="pt-BR"/>
        </w:rPr>
        <w:t xml:space="preserve">). </w:t>
      </w:r>
      <w:bookmarkEnd w:id="2"/>
      <w:bookmarkEnd w:id="3"/>
      <w:bookmarkEnd w:id="4"/>
    </w:p>
    <w:p>
      <w:pPr>
        <w:pStyle w:val="Normal"/>
        <w:jc w:val="both"/>
        <w:rPr>
          <w:rFonts w:ascii="Arial" w:hAnsi="Arial" w:eastAsia="Times New Roman" w:cs="Arial"/>
          <w:sz w:val="22"/>
          <w:szCs w:val="22"/>
          <w:lang w:val="pt-BR" w:eastAsia="pt-BR"/>
        </w:rPr>
      </w:pPr>
      <w:r>
        <w:rPr>
          <w:rFonts w:eastAsia="Times New Roman" w:cs="Arial" w:ascii="Arial" w:hAnsi="Arial"/>
          <w:sz w:val="22"/>
          <w:szCs w:val="22"/>
          <w:lang w:val="pt-BR" w:eastAsia="pt-BR"/>
        </w:rPr>
        <w:t>As espécies foram implantadas em dezembro de 2021 em unidades experimentais de 2 m², distribuídas em um delineamento experimental de blocos completos casualizado com quatro repetições por tratamento. Durante os meses de janeiro a maio de 2022 a área foi manejada com roçadas mecânicas (50% de severidade de desfolhação) na altura meta de manejo para cada cultivar. Após este período, foi determinada a densidade populacional de perfilhos (DPP) das espécies, considerada como DPP “padrão”. A partir de maio de 2022 os pastos não voltaram a alcançar a altura de manejo e a temperatura do local foi registrada por termômetro de mínima e máxima localizado na altura do dossel forrageiro. Nos dias em que ocorreu a formação de geadas, estas foram classificadas conforme a proposição de Araújo et al. (2012): geada fraca (entre 0 e -2</w:t>
      </w:r>
      <w:r>
        <w:rPr>
          <w:rFonts w:eastAsia="Times New Roman" w:cs="Arial" w:ascii="Arial" w:hAnsi="Arial"/>
          <w:sz w:val="22"/>
          <w:szCs w:val="22"/>
          <w:vertAlign w:val="superscript"/>
          <w:lang w:val="pt-BR" w:eastAsia="pt-BR"/>
        </w:rPr>
        <w:t>o</w:t>
      </w:r>
      <w:r>
        <w:rPr>
          <w:rFonts w:eastAsia="Times New Roman" w:cs="Arial" w:ascii="Arial" w:hAnsi="Arial"/>
          <w:sz w:val="22"/>
          <w:szCs w:val="22"/>
          <w:lang w:val="pt-BR" w:eastAsia="pt-BR"/>
        </w:rPr>
        <w:t>C) e geada moderada (entre -2 e -4</w:t>
      </w:r>
      <w:r>
        <w:rPr>
          <w:rFonts w:eastAsia="Times New Roman" w:cs="Arial" w:ascii="Arial" w:hAnsi="Arial"/>
          <w:sz w:val="22"/>
          <w:szCs w:val="22"/>
          <w:vertAlign w:val="superscript"/>
          <w:lang w:val="pt-BR" w:eastAsia="pt-BR"/>
        </w:rPr>
        <w:t xml:space="preserve"> o</w:t>
      </w:r>
      <w:r>
        <w:rPr>
          <w:rFonts w:eastAsia="Times New Roman" w:cs="Arial" w:ascii="Arial" w:hAnsi="Arial"/>
          <w:sz w:val="22"/>
          <w:szCs w:val="22"/>
          <w:lang w:val="pt-BR" w:eastAsia="pt-BR"/>
        </w:rPr>
        <w:t xml:space="preserve">C). Durante a estação fria, houve a ocorrência de oito geadas fracas (12/06, 13/06, 30/06, 01/07, 18/07, 31/07, 19/08, 24/09) e uma moderada (19/06). As avaliações dos danos da geada nas folhas foram realizadas sete dias após cada geada, no qual as folhas de cinco perfilhos foram avaliados de forma visual conforme a metodologia proposta por Krahl &amp; Marocco (2019) (Figura 1). </w:t>
      </w:r>
    </w:p>
    <w:p>
      <w:pPr>
        <w:pStyle w:val="Normal"/>
        <w:pBdr/>
        <w:jc w:val="both"/>
        <w:rPr>
          <w:rFonts w:ascii="Arial" w:hAnsi="Arial" w:eastAsia="Times New Roman" w:cs="Arial"/>
          <w:sz w:val="22"/>
          <w:szCs w:val="22"/>
          <w:lang w:val="pt-BR" w:eastAsia="pt-BR"/>
        </w:rPr>
      </w:pPr>
      <w:r>
        <w:rPr>
          <w:rFonts w:eastAsia="Times New Roman" w:cs="Arial" w:ascii="Arial" w:hAnsi="Arial"/>
          <w:sz w:val="22"/>
          <w:szCs w:val="22"/>
          <w:lang w:val="pt-BR" w:eastAsia="pt-BR"/>
        </w:rPr>
      </w:r>
    </w:p>
    <w:p>
      <w:pPr>
        <w:pStyle w:val="Normal"/>
        <w:pBdr/>
        <w:jc w:val="both"/>
        <w:rPr>
          <w:rFonts w:ascii="Arial" w:hAnsi="Arial" w:eastAsia="Times New Roman" w:cs="Arial"/>
          <w:sz w:val="22"/>
          <w:szCs w:val="22"/>
          <w:lang w:val="pt-BR" w:eastAsia="pt-BR"/>
        </w:rPr>
      </w:pPr>
      <w:r>
        <w:rPr/>
        <w:drawing>
          <wp:inline distT="0" distB="0" distL="0" distR="0">
            <wp:extent cx="5715000" cy="1952625"/>
            <wp:effectExtent l="0" t="0" r="0" b="0"/>
            <wp:docPr id="1" name="Imagem 12" descr="Gráfi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2" descr="Gráfico&#10;&#10;Descrição gerada automaticamente com confiança média"/>
                    <pic:cNvPicPr>
                      <a:picLocks noChangeAspect="1" noChangeArrowheads="1"/>
                    </pic:cNvPicPr>
                  </pic:nvPicPr>
                  <pic:blipFill>
                    <a:blip r:embed="rId3"/>
                    <a:stretch>
                      <a:fillRect/>
                    </a:stretch>
                  </pic:blipFill>
                  <pic:spPr bwMode="auto">
                    <a:xfrm>
                      <a:off x="0" y="0"/>
                      <a:ext cx="5715000" cy="1952625"/>
                    </a:xfrm>
                    <a:prstGeom prst="rect">
                      <a:avLst/>
                    </a:prstGeom>
                  </pic:spPr>
                </pic:pic>
              </a:graphicData>
            </a:graphic>
          </wp:inline>
        </w:drawing>
      </w:r>
    </w:p>
    <w:p>
      <w:pPr>
        <w:pStyle w:val="Normal"/>
        <w:pBdr/>
        <w:jc w:val="both"/>
        <w:rPr>
          <w:rFonts w:ascii="Arial" w:hAnsi="Arial" w:eastAsia="Times New Roman" w:cs="Arial"/>
          <w:sz w:val="21"/>
          <w:szCs w:val="21"/>
          <w:shd w:fill="FFFFFF" w:val="clear"/>
          <w:lang w:val="pt-BR" w:eastAsia="pt-BR"/>
        </w:rPr>
      </w:pPr>
      <w:bookmarkStart w:id="5" w:name="_Hlk139467438"/>
      <w:r>
        <w:rPr>
          <w:rFonts w:eastAsia="Times New Roman" w:cs="Arial" w:ascii="Arial" w:hAnsi="Arial"/>
          <w:b/>
          <w:bCs/>
          <w:sz w:val="21"/>
          <w:szCs w:val="21"/>
          <w:shd w:fill="FFFFFF" w:val="clear"/>
          <w:lang w:val="pt-BR" w:eastAsia="pt-BR"/>
        </w:rPr>
        <w:t>Figura 1</w:t>
      </w:r>
      <w:r>
        <w:rPr>
          <w:rFonts w:eastAsia="Times New Roman" w:cs="Arial" w:ascii="Arial" w:hAnsi="Arial"/>
          <w:sz w:val="21"/>
          <w:szCs w:val="21"/>
          <w:shd w:fill="FFFFFF" w:val="clear"/>
          <w:lang w:val="pt-BR" w:eastAsia="pt-BR"/>
        </w:rPr>
        <w:t xml:space="preserve"> – Padrão de avaliação do dano por geada nas lâminas foliares 7 dias após a ocorrência do evento climático.</w:t>
      </w:r>
      <w:bookmarkEnd w:id="5"/>
    </w:p>
    <w:p>
      <w:pPr>
        <w:pStyle w:val="Normal"/>
        <w:pBdr/>
        <w:jc w:val="both"/>
        <w:rPr>
          <w:rFonts w:ascii="Arial" w:hAnsi="Arial" w:eastAsia="Times New Roman" w:cs="Arial"/>
          <w:sz w:val="21"/>
          <w:szCs w:val="21"/>
          <w:shd w:fill="FFFFFF" w:val="clear"/>
          <w:lang w:val="pt-BR" w:eastAsia="pt-BR"/>
        </w:rPr>
      </w:pPr>
      <w:r>
        <w:rPr>
          <w:rFonts w:eastAsia="Times New Roman" w:cs="Arial" w:ascii="Arial" w:hAnsi="Arial"/>
          <w:sz w:val="21"/>
          <w:szCs w:val="21"/>
          <w:shd w:fill="FFFFFF" w:val="clear"/>
          <w:lang w:val="pt-BR" w:eastAsia="pt-BR"/>
        </w:rPr>
        <w:t>Fonte: Krahl &amp; Marocco (2019).</w:t>
      </w:r>
    </w:p>
    <w:p>
      <w:pPr>
        <w:pStyle w:val="Normal"/>
        <w:pBdr/>
        <w:jc w:val="both"/>
        <w:rPr>
          <w:rFonts w:ascii="Arial" w:hAnsi="Arial" w:eastAsia="Times New Roman" w:cs="Arial"/>
          <w:sz w:val="22"/>
          <w:szCs w:val="22"/>
          <w:shd w:fill="FFFFFF" w:val="clear"/>
          <w:lang w:val="pt-BR" w:eastAsia="pt-BR"/>
        </w:rPr>
      </w:pPr>
      <w:r>
        <w:rPr>
          <w:rFonts w:eastAsia="Times New Roman" w:cs="Arial" w:ascii="Arial" w:hAnsi="Arial"/>
          <w:sz w:val="22"/>
          <w:szCs w:val="22"/>
          <w:shd w:fill="FFFFFF" w:val="clear"/>
          <w:lang w:val="pt-BR" w:eastAsia="pt-BR"/>
        </w:rPr>
      </w:r>
    </w:p>
    <w:p>
      <w:pPr>
        <w:pStyle w:val="Normal"/>
        <w:pBdr/>
        <w:jc w:val="both"/>
        <w:rPr>
          <w:rFonts w:ascii="Arial" w:hAnsi="Arial" w:eastAsia="Times New Roman" w:cs="Arial"/>
          <w:sz w:val="22"/>
          <w:szCs w:val="22"/>
          <w:lang w:val="pt-BR" w:eastAsia="pt-BR"/>
        </w:rPr>
      </w:pPr>
      <w:r>
        <w:rPr>
          <w:rFonts w:eastAsia="Times New Roman" w:cs="Arial" w:ascii="Arial" w:hAnsi="Arial"/>
          <w:sz w:val="22"/>
          <w:szCs w:val="22"/>
          <w:lang w:val="pt-BR" w:eastAsia="pt-BR"/>
        </w:rPr>
        <w:t>A contagem do número de perfilhos foi realizada especificamente, 30, 60, 90 e 120 dias após a última geada (24/09), nestas avaliações, a DPP foi comparada com o número de perfilhos do final da estação quente anterior a fim de estimar o percentual de recuperação da população. Os dados foram submetidos a análise de variância (ANOVA) e quando significativas (p&lt;0,05) as médias foram comparadas pelo teste de Tukey a 5% de probabilidade utilizando o software estatístico R.</w:t>
      </w:r>
    </w:p>
    <w:p>
      <w:pPr>
        <w:pStyle w:val="Normal"/>
        <w:jc w:val="both"/>
        <w:rPr>
          <w:rFonts w:ascii="Arial" w:hAnsi="Arial"/>
          <w:b/>
          <w:b/>
          <w:bCs/>
          <w:color w:val="000000"/>
          <w:sz w:val="22"/>
          <w:szCs w:val="22"/>
          <w:u w:val="none" w:color="000000"/>
          <w:lang w:val="pt-BR"/>
        </w:rPr>
      </w:pPr>
      <w:r>
        <w:rPr>
          <w:rFonts w:ascii="Arial" w:hAnsi="Arial"/>
          <w:b/>
          <w:bCs/>
          <w:color w:val="000000"/>
          <w:sz w:val="22"/>
          <w:szCs w:val="22"/>
          <w:u w:val="none" w:color="000000"/>
          <w:lang w:val="pt-BR"/>
        </w:rPr>
      </w:r>
    </w:p>
    <w:p>
      <w:pPr>
        <w:pStyle w:val="Normal"/>
        <w:pBdr/>
        <w:jc w:val="both"/>
        <w:rPr>
          <w:rFonts w:ascii="Arial" w:hAnsi="Arial" w:eastAsia="Times New Roman" w:cs="Arial"/>
          <w:sz w:val="22"/>
          <w:szCs w:val="22"/>
          <w:lang w:val="pt-BR" w:eastAsia="pt-BR"/>
        </w:rPr>
      </w:pPr>
      <w:r>
        <w:rPr>
          <w:rFonts w:ascii="Arial" w:hAnsi="Arial"/>
          <w:b/>
          <w:bCs/>
          <w:color w:val="000000"/>
          <w:sz w:val="22"/>
          <w:szCs w:val="22"/>
          <w:u w:val="none" w:color="000000"/>
          <w:lang w:val="pt-BR"/>
        </w:rPr>
        <w:t>Resultados e discussões:</w:t>
      </w:r>
      <w:r>
        <w:rPr>
          <w:rFonts w:ascii="Arial" w:hAnsi="Arial"/>
          <w:color w:val="000000"/>
          <w:sz w:val="22"/>
          <w:szCs w:val="22"/>
          <w:u w:val="none" w:color="000000"/>
          <w:lang w:val="pt-BR"/>
        </w:rPr>
        <w:t xml:space="preserve"> </w:t>
      </w:r>
      <w:r>
        <w:rPr>
          <w:rFonts w:eastAsia="Times New Roman" w:cs="Arial" w:ascii="Arial" w:hAnsi="Arial"/>
          <w:sz w:val="22"/>
          <w:szCs w:val="22"/>
          <w:lang w:val="pt-BR" w:eastAsia="pt-BR"/>
        </w:rPr>
        <w:t xml:space="preserve">O percentual de dano das folhas em função da geada diferiu entre as espécies (p&lt;0,05) (Tabela 1). A espécie Missioneira Gigante apresentou o menor percentual de dano entre as espécies em ambas as avaliações, não diferindo (p&gt;0,05) do Capim Prima. Resultados semelhantes foram encontrados por </w:t>
      </w:r>
      <w:bookmarkStart w:id="6" w:name="_Hlk133604841"/>
      <w:r>
        <w:rPr>
          <w:rFonts w:eastAsia="Times New Roman" w:cs="Arial" w:ascii="Arial" w:hAnsi="Arial"/>
          <w:sz w:val="22"/>
          <w:szCs w:val="22"/>
          <w:lang w:val="pt-BR" w:eastAsia="pt-BR"/>
        </w:rPr>
        <w:t>Krahl &amp; Marocco (2019</w:t>
      </w:r>
      <w:bookmarkEnd w:id="6"/>
      <w:r>
        <w:rPr>
          <w:rFonts w:eastAsia="Times New Roman" w:cs="Arial" w:ascii="Arial" w:hAnsi="Arial"/>
          <w:sz w:val="22"/>
          <w:szCs w:val="22"/>
          <w:lang w:val="pt-BR" w:eastAsia="pt-BR"/>
        </w:rPr>
        <w:t xml:space="preserve">) que descreveram o alto potencial de tolerância a geada da Missioneira Gigante. Embora nossos resultados demonstrem que o Capim Prima tenha apresentado menor dano de geada no tecido foliar, não foi encontrado nenhum outro resultado na literatura que ateste esse fato, possivelmente porque esta cultivar trata-se de um híbrido desenvolvido recentemente no Brasil. As espécies dos </w:t>
      </w:r>
      <w:bookmarkStart w:id="7" w:name="_Hlk134092475"/>
      <w:r>
        <w:rPr>
          <w:rFonts w:eastAsia="Times New Roman" w:cs="Arial" w:ascii="Arial" w:hAnsi="Arial"/>
          <w:sz w:val="22"/>
          <w:szCs w:val="22"/>
          <w:lang w:val="pt-BR" w:eastAsia="pt-BR"/>
        </w:rPr>
        <w:t xml:space="preserve">gêneros </w:t>
      </w:r>
      <w:r>
        <w:rPr>
          <w:rFonts w:eastAsia="Times New Roman" w:cs="Arial" w:ascii="Arial" w:hAnsi="Arial"/>
          <w:i/>
          <w:iCs/>
          <w:sz w:val="22"/>
          <w:szCs w:val="22"/>
          <w:lang w:val="pt-BR" w:eastAsia="pt-BR"/>
        </w:rPr>
        <w:t xml:space="preserve">Panicum </w:t>
      </w:r>
      <w:r>
        <w:rPr>
          <w:rFonts w:eastAsia="Times New Roman" w:cs="Arial" w:ascii="Arial" w:hAnsi="Arial"/>
          <w:sz w:val="22"/>
          <w:szCs w:val="22"/>
          <w:lang w:val="pt-BR" w:eastAsia="pt-BR"/>
        </w:rPr>
        <w:t xml:space="preserve">e </w:t>
      </w:r>
      <w:r>
        <w:rPr>
          <w:rFonts w:eastAsia="Times New Roman" w:cs="Arial" w:ascii="Arial" w:hAnsi="Arial"/>
          <w:i/>
          <w:iCs/>
          <w:sz w:val="22"/>
          <w:szCs w:val="22"/>
          <w:lang w:val="pt-BR" w:eastAsia="pt-BR"/>
        </w:rPr>
        <w:t>Brachiaria</w:t>
      </w:r>
      <w:r>
        <w:rPr>
          <w:rFonts w:eastAsia="Times New Roman" w:cs="Arial" w:ascii="Arial" w:hAnsi="Arial"/>
          <w:sz w:val="22"/>
          <w:szCs w:val="22"/>
          <w:lang w:val="pt-BR" w:eastAsia="pt-BR"/>
        </w:rPr>
        <w:t xml:space="preserve"> e apresentaram os maiores percentuais de danos pela ação da geada.</w:t>
      </w:r>
      <w:bookmarkEnd w:id="7"/>
      <w:r>
        <w:rPr>
          <w:rFonts w:eastAsia="Times New Roman" w:cs="Arial" w:ascii="Arial" w:hAnsi="Arial"/>
          <w:sz w:val="22"/>
          <w:szCs w:val="22"/>
          <w:lang w:val="pt-BR" w:eastAsia="pt-BR"/>
        </w:rPr>
        <w:t xml:space="preserve"> </w:t>
      </w:r>
    </w:p>
    <w:p>
      <w:pPr>
        <w:pStyle w:val="Normal"/>
        <w:ind w:firstLine="708"/>
        <w:jc w:val="both"/>
        <w:rPr>
          <w:rFonts w:ascii="Arial" w:hAnsi="Arial" w:eastAsia="Times New Roman" w:cs="Arial"/>
          <w:sz w:val="22"/>
          <w:szCs w:val="22"/>
          <w:lang w:val="pt-BR" w:eastAsia="pt-BR"/>
        </w:rPr>
      </w:pPr>
      <w:r>
        <w:rPr>
          <w:rFonts w:eastAsia="Times New Roman" w:cs="Arial" w:ascii="Arial" w:hAnsi="Arial"/>
          <w:sz w:val="22"/>
          <w:szCs w:val="22"/>
          <w:lang w:val="pt-BR" w:eastAsia="pt-BR"/>
        </w:rPr>
      </w:r>
      <w:bookmarkStart w:id="8" w:name="_Hlk139467507"/>
      <w:bookmarkStart w:id="9" w:name="_Hlk139467507"/>
    </w:p>
    <w:p>
      <w:pPr>
        <w:pStyle w:val="Normal"/>
        <w:jc w:val="both"/>
        <w:rPr>
          <w:rFonts w:ascii="Arial" w:hAnsi="Arial" w:eastAsia="Times New Roman" w:cs="Arial"/>
          <w:sz w:val="20"/>
          <w:szCs w:val="20"/>
          <w:lang w:val="pt-BR" w:eastAsia="pt-BR"/>
        </w:rPr>
      </w:pPr>
      <w:r>
        <w:rPr>
          <w:rFonts w:eastAsia="Times New Roman" w:cs="Arial" w:ascii="Arial" w:hAnsi="Arial"/>
          <w:b/>
          <w:bCs/>
          <w:sz w:val="20"/>
          <w:szCs w:val="20"/>
          <w:lang w:val="pt-BR" w:eastAsia="pt-BR"/>
        </w:rPr>
        <w:t>Tabela 1</w:t>
      </w:r>
      <w:r>
        <w:rPr>
          <w:rFonts w:eastAsia="Times New Roman" w:cs="Arial" w:ascii="Arial" w:hAnsi="Arial"/>
          <w:sz w:val="20"/>
          <w:szCs w:val="20"/>
          <w:lang w:val="pt-BR" w:eastAsia="pt-BR"/>
        </w:rPr>
        <w:t xml:space="preserve"> – Percentual (%) de dano por geada em lâminas foliares e</w:t>
      </w:r>
      <w:r>
        <w:rPr>
          <w:lang w:val="pt-BR"/>
        </w:rPr>
        <w:t xml:space="preserve"> </w:t>
      </w:r>
      <w:r>
        <w:rPr>
          <w:rFonts w:eastAsia="Times New Roman" w:cs="Arial" w:ascii="Arial" w:hAnsi="Arial"/>
          <w:sz w:val="20"/>
          <w:szCs w:val="20"/>
          <w:lang w:val="pt-BR" w:eastAsia="pt-BR"/>
        </w:rPr>
        <w:t>percentual de retorno dos perfilhos em relação ao número de perfilhos pré-geada de dez espécies forrageiras perenes de verão durante o inverno de 2022.</w:t>
      </w:r>
    </w:p>
    <w:tbl>
      <w:tblPr>
        <w:tblStyle w:val="Tabelacomgrade"/>
        <w:tblW w:w="9067" w:type="dxa"/>
        <w:jc w:val="center"/>
        <w:tblInd w:w="0" w:type="dxa"/>
        <w:tblLayout w:type="fixed"/>
        <w:tblCellMar>
          <w:top w:w="0" w:type="dxa"/>
          <w:left w:w="0" w:type="dxa"/>
          <w:bottom w:w="0" w:type="dxa"/>
          <w:right w:w="0" w:type="dxa"/>
        </w:tblCellMar>
        <w:tblLook w:firstRow="1" w:noVBand="1" w:lastRow="0" w:firstColumn="1" w:lastColumn="0" w:noHBand="0" w:val="04a0"/>
      </w:tblPr>
      <w:tblGrid>
        <w:gridCol w:w="1275"/>
        <w:gridCol w:w="1844"/>
        <w:gridCol w:w="1843"/>
        <w:gridCol w:w="849"/>
        <w:gridCol w:w="852"/>
        <w:gridCol w:w="1133"/>
        <w:gridCol w:w="1270"/>
      </w:tblGrid>
      <w:tr>
        <w:trPr/>
        <w:tc>
          <w:tcPr>
            <w:tcW w:w="1275" w:type="dxa"/>
            <w:vMerge w:val="restart"/>
            <w:tcBorders>
              <w:left w:val="nil"/>
              <w:bottom w:val="nil"/>
              <w:right w:val="nil"/>
            </w:tcBorders>
            <w:vAlign w:val="center"/>
          </w:tcPr>
          <w:p>
            <w:pPr>
              <w:pStyle w:val="Normal"/>
              <w:widowControl/>
              <w:pBdr/>
              <w:spacing w:before="0" w:after="0"/>
              <w:jc w:val="center"/>
              <w:rPr>
                <w:rFonts w:ascii="Arial" w:hAnsi="Arial" w:eastAsia="Times New Roman" w:cs="Arial"/>
                <w:b/>
                <w:b/>
                <w:bCs/>
                <w:color w:val="000000"/>
                <w:sz w:val="20"/>
                <w:szCs w:val="20"/>
                <w:lang w:val="pt-BR"/>
              </w:rPr>
            </w:pPr>
            <w:r>
              <w:rPr>
                <w:rFonts w:eastAsia="Times New Roman" w:cs="Arial" w:ascii="Arial" w:hAnsi="Arial"/>
                <w:b/>
                <w:bCs/>
                <w:color w:val="000000"/>
                <w:kern w:val="0"/>
                <w:sz w:val="20"/>
                <w:szCs w:val="20"/>
                <w:lang w:val="pt-BR" w:bidi="ar-SA"/>
              </w:rPr>
              <w:t>Espécie</w:t>
            </w:r>
          </w:p>
        </w:tc>
        <w:tc>
          <w:tcPr>
            <w:tcW w:w="1844" w:type="dxa"/>
            <w:vMerge w:val="restart"/>
            <w:tcBorders>
              <w:left w:val="nil"/>
              <w:bottom w:val="nil"/>
              <w:right w:val="nil"/>
            </w:tcBorders>
          </w:tcPr>
          <w:p>
            <w:pPr>
              <w:pStyle w:val="Normal"/>
              <w:widowControl/>
              <w:pBdr/>
              <w:spacing w:before="0" w:after="0"/>
              <w:jc w:val="center"/>
              <w:rPr>
                <w:rFonts w:ascii="Arial" w:hAnsi="Arial" w:eastAsia="Times New Roman" w:cs="Arial"/>
                <w:b/>
                <w:b/>
                <w:bCs/>
                <w:color w:val="000000"/>
                <w:sz w:val="20"/>
                <w:szCs w:val="20"/>
                <w:lang w:val="pt-BR"/>
              </w:rPr>
            </w:pPr>
            <w:r>
              <w:rPr>
                <w:rFonts w:eastAsia="Times New Roman" w:cs="Arial" w:ascii="Arial" w:hAnsi="Arial"/>
                <w:b/>
                <w:bCs/>
                <w:color w:val="000000"/>
                <w:kern w:val="0"/>
                <w:sz w:val="20"/>
                <w:szCs w:val="20"/>
                <w:lang w:val="pt-BR" w:bidi="ar-SA"/>
              </w:rPr>
              <w:t>% de dano foliar (26/06)</w:t>
            </w:r>
          </w:p>
        </w:tc>
        <w:tc>
          <w:tcPr>
            <w:tcW w:w="1843" w:type="dxa"/>
            <w:vMerge w:val="restart"/>
            <w:tcBorders>
              <w:left w:val="nil"/>
              <w:bottom w:val="nil"/>
              <w:right w:val="nil"/>
            </w:tcBorders>
            <w:vAlign w:val="bottom"/>
          </w:tcPr>
          <w:p>
            <w:pPr>
              <w:pStyle w:val="Normal"/>
              <w:widowControl/>
              <w:pBdr/>
              <w:spacing w:before="0" w:after="0"/>
              <w:jc w:val="center"/>
              <w:rPr>
                <w:rFonts w:ascii="Arial" w:hAnsi="Arial" w:eastAsia="Times New Roman" w:cs="Arial"/>
                <w:b/>
                <w:b/>
                <w:bCs/>
                <w:color w:val="000000"/>
                <w:sz w:val="20"/>
                <w:szCs w:val="20"/>
                <w:lang w:val="pt-BR"/>
              </w:rPr>
            </w:pPr>
            <w:r>
              <w:rPr>
                <w:rFonts w:eastAsia="Times New Roman" w:cs="Arial" w:ascii="Arial" w:hAnsi="Arial"/>
                <w:b/>
                <w:bCs/>
                <w:color w:val="000000"/>
                <w:kern w:val="0"/>
                <w:sz w:val="20"/>
                <w:szCs w:val="20"/>
                <w:lang w:val="pt-BR" w:bidi="ar-SA"/>
              </w:rPr>
              <w:t>% de dano foliar (08/07)</w:t>
            </w:r>
          </w:p>
        </w:tc>
        <w:tc>
          <w:tcPr>
            <w:tcW w:w="4104" w:type="dxa"/>
            <w:gridSpan w:val="4"/>
            <w:tcBorders>
              <w:left w:val="nil"/>
              <w:bottom w:val="nil"/>
              <w:right w:val="nil"/>
            </w:tcBorders>
            <w:vAlign w:val="bottom"/>
          </w:tcPr>
          <w:p>
            <w:pPr>
              <w:pStyle w:val="Normal"/>
              <w:widowControl/>
              <w:pBdr/>
              <w:spacing w:before="0" w:after="0"/>
              <w:jc w:val="center"/>
              <w:rPr>
                <w:rFonts w:ascii="Arial" w:hAnsi="Arial" w:eastAsia="Times New Roman" w:cs="Arial"/>
                <w:b/>
                <w:b/>
                <w:bCs/>
                <w:sz w:val="20"/>
                <w:szCs w:val="20"/>
                <w:lang w:val="pt-BR" w:eastAsia="pt-BR"/>
              </w:rPr>
            </w:pPr>
            <w:r>
              <w:rPr>
                <w:rFonts w:eastAsia="Times New Roman" w:cs="Arial" w:ascii="Arial" w:hAnsi="Arial"/>
                <w:b/>
                <w:bCs/>
                <w:kern w:val="0"/>
                <w:sz w:val="20"/>
                <w:szCs w:val="20"/>
                <w:lang w:val="pt-BR" w:eastAsia="pt-BR" w:bidi="ar-SA"/>
              </w:rPr>
              <w:t>% de retorno dos perfilhos (datas)</w:t>
            </w:r>
          </w:p>
        </w:tc>
      </w:tr>
      <w:tr>
        <w:trPr/>
        <w:tc>
          <w:tcPr>
            <w:tcW w:w="1275" w:type="dxa"/>
            <w:vMerge w:val="continue"/>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eastAsia="Times New Roman" w:cs="Arial" w:ascii="Arial" w:hAnsi="Arial"/>
                <w:kern w:val="0"/>
                <w:sz w:val="20"/>
                <w:szCs w:val="20"/>
                <w:lang w:val="pt-BR" w:eastAsia="pt-BR" w:bidi="ar-SA"/>
              </w:rPr>
            </w:r>
          </w:p>
        </w:tc>
        <w:tc>
          <w:tcPr>
            <w:tcW w:w="1844" w:type="dxa"/>
            <w:vMerge w:val="continue"/>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eastAsia="Times New Roman" w:cs="Arial" w:ascii="Arial" w:hAnsi="Arial"/>
                <w:kern w:val="0"/>
                <w:sz w:val="20"/>
                <w:szCs w:val="20"/>
                <w:lang w:val="pt-BR" w:eastAsia="pt-BR" w:bidi="ar-SA"/>
              </w:rPr>
            </w:r>
          </w:p>
        </w:tc>
        <w:tc>
          <w:tcPr>
            <w:tcW w:w="1843" w:type="dxa"/>
            <w:vMerge w:val="continue"/>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eastAsia="Times New Roman" w:cs="Arial" w:ascii="Arial" w:hAnsi="Arial"/>
                <w:kern w:val="0"/>
                <w:sz w:val="20"/>
                <w:szCs w:val="20"/>
                <w:lang w:val="pt-BR" w:eastAsia="pt-BR" w:bidi="ar-SA"/>
              </w:rPr>
            </w:r>
          </w:p>
        </w:tc>
        <w:tc>
          <w:tcPr>
            <w:tcW w:w="849" w:type="dxa"/>
            <w:tcBorders>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eastAsia="Times New Roman" w:cs="Arial" w:ascii="Arial" w:hAnsi="Arial"/>
                <w:b/>
                <w:bCs/>
                <w:kern w:val="0"/>
                <w:sz w:val="20"/>
                <w:szCs w:val="20"/>
                <w:lang w:val="pt-BR" w:eastAsia="pt-BR" w:bidi="ar-SA"/>
              </w:rPr>
              <w:t>02/11</w:t>
            </w:r>
          </w:p>
        </w:tc>
        <w:tc>
          <w:tcPr>
            <w:tcW w:w="852" w:type="dxa"/>
            <w:tcBorders>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eastAsia="Times New Roman" w:cs="Arial" w:ascii="Arial" w:hAnsi="Arial"/>
                <w:b/>
                <w:bCs/>
                <w:kern w:val="0"/>
                <w:sz w:val="20"/>
                <w:szCs w:val="20"/>
                <w:lang w:val="pt-BR" w:eastAsia="pt-BR" w:bidi="ar-SA"/>
              </w:rPr>
              <w:t>02/12</w:t>
            </w:r>
          </w:p>
        </w:tc>
        <w:tc>
          <w:tcPr>
            <w:tcW w:w="1133" w:type="dxa"/>
            <w:tcBorders>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eastAsia="Times New Roman" w:cs="Arial" w:ascii="Arial" w:hAnsi="Arial"/>
                <w:b/>
                <w:bCs/>
                <w:kern w:val="0"/>
                <w:sz w:val="20"/>
                <w:szCs w:val="20"/>
                <w:lang w:val="pt-BR" w:eastAsia="pt-BR" w:bidi="ar-SA"/>
              </w:rPr>
              <w:t>02/01</w:t>
            </w:r>
          </w:p>
        </w:tc>
        <w:tc>
          <w:tcPr>
            <w:tcW w:w="1270" w:type="dxa"/>
            <w:tcBorders>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eastAsia="Times New Roman" w:cs="Arial" w:ascii="Arial" w:hAnsi="Arial"/>
                <w:b/>
                <w:bCs/>
                <w:kern w:val="0"/>
                <w:sz w:val="20"/>
                <w:szCs w:val="20"/>
                <w:lang w:val="pt-BR" w:eastAsia="pt-BR" w:bidi="ar-SA"/>
              </w:rPr>
              <w:t>02/02</w:t>
            </w:r>
          </w:p>
        </w:tc>
      </w:tr>
      <w:tr>
        <w:trPr/>
        <w:tc>
          <w:tcPr>
            <w:tcW w:w="1275"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eastAsia="Times New Roman" w:cs="Arial" w:ascii="Arial" w:hAnsi="Arial"/>
                <w:color w:val="000000"/>
                <w:kern w:val="0"/>
                <w:sz w:val="20"/>
                <w:szCs w:val="20"/>
                <w:lang w:val="pt-BR" w:bidi="ar-SA"/>
              </w:rPr>
              <w:t>M. Gigante</w:t>
            </w:r>
          </w:p>
        </w:tc>
        <w:tc>
          <w:tcPr>
            <w:tcW w:w="1844"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eastAsia="Times New Roman" w:cs="Arial" w:ascii="Arial" w:hAnsi="Arial"/>
                <w:color w:val="000000"/>
                <w:kern w:val="0"/>
                <w:sz w:val="20"/>
                <w:szCs w:val="20"/>
                <w:lang w:val="pt-BR" w:bidi="ar-SA"/>
              </w:rPr>
              <w:t>16,4 a</w:t>
            </w:r>
          </w:p>
        </w:tc>
        <w:tc>
          <w:tcPr>
            <w:tcW w:w="1843"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eastAsia="Times New Roman" w:cs="Arial" w:ascii="Arial" w:hAnsi="Arial"/>
                <w:color w:val="000000"/>
                <w:kern w:val="0"/>
                <w:sz w:val="20"/>
                <w:szCs w:val="20"/>
                <w:lang w:val="pt-BR" w:bidi="ar-SA"/>
              </w:rPr>
              <w:t>0 a</w:t>
            </w:r>
          </w:p>
        </w:tc>
        <w:tc>
          <w:tcPr>
            <w:tcW w:w="849"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cs="Arial" w:ascii="Arial" w:hAnsi="Arial"/>
                <w:color w:val="000000"/>
                <w:kern w:val="0"/>
                <w:sz w:val="20"/>
                <w:szCs w:val="20"/>
                <w:lang w:bidi="ar-SA"/>
              </w:rPr>
              <w:t>94 a</w:t>
            </w:r>
          </w:p>
        </w:tc>
        <w:tc>
          <w:tcPr>
            <w:tcW w:w="852"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cs="Arial" w:ascii="Arial" w:hAnsi="Arial"/>
                <w:color w:val="000000"/>
                <w:kern w:val="0"/>
                <w:sz w:val="20"/>
                <w:szCs w:val="20"/>
                <w:lang w:bidi="ar-SA"/>
              </w:rPr>
              <w:t>89 a</w:t>
            </w:r>
          </w:p>
        </w:tc>
        <w:tc>
          <w:tcPr>
            <w:tcW w:w="1133"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cs="Arial" w:ascii="Arial" w:hAnsi="Arial"/>
                <w:color w:val="000000"/>
                <w:kern w:val="0"/>
                <w:sz w:val="20"/>
                <w:szCs w:val="20"/>
                <w:lang w:bidi="ar-SA"/>
              </w:rPr>
              <w:t>151 a</w:t>
            </w:r>
          </w:p>
        </w:tc>
        <w:tc>
          <w:tcPr>
            <w:tcW w:w="1270"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cs="Arial" w:ascii="Arial" w:hAnsi="Arial"/>
                <w:color w:val="000000"/>
                <w:kern w:val="0"/>
                <w:sz w:val="20"/>
                <w:szCs w:val="20"/>
                <w:lang w:bidi="ar-SA"/>
              </w:rPr>
              <w:t>145 a</w:t>
            </w:r>
          </w:p>
        </w:tc>
      </w:tr>
      <w:tr>
        <w:trPr/>
        <w:tc>
          <w:tcPr>
            <w:tcW w:w="1275"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eastAsia="Times New Roman" w:cs="Arial" w:ascii="Arial" w:hAnsi="Arial"/>
                <w:color w:val="000000"/>
                <w:kern w:val="0"/>
                <w:sz w:val="20"/>
                <w:szCs w:val="20"/>
                <w:lang w:val="pt-BR" w:bidi="ar-SA"/>
              </w:rPr>
              <w:t>C. Prima</w:t>
            </w:r>
          </w:p>
        </w:tc>
        <w:tc>
          <w:tcPr>
            <w:tcW w:w="1844"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eastAsia="Times New Roman" w:cs="Arial" w:ascii="Arial" w:hAnsi="Arial"/>
                <w:color w:val="000000"/>
                <w:kern w:val="0"/>
                <w:sz w:val="20"/>
                <w:szCs w:val="20"/>
                <w:lang w:val="pt-BR" w:bidi="ar-SA"/>
              </w:rPr>
              <w:t>50 ab</w:t>
            </w:r>
          </w:p>
        </w:tc>
        <w:tc>
          <w:tcPr>
            <w:tcW w:w="1843"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eastAsia="Times New Roman" w:cs="Arial" w:ascii="Arial" w:hAnsi="Arial"/>
                <w:color w:val="000000"/>
                <w:kern w:val="0"/>
                <w:sz w:val="20"/>
                <w:szCs w:val="20"/>
                <w:lang w:val="pt-BR" w:bidi="ar-SA"/>
              </w:rPr>
              <w:t>31,6 ab</w:t>
            </w:r>
          </w:p>
        </w:tc>
        <w:tc>
          <w:tcPr>
            <w:tcW w:w="849"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cs="Arial" w:ascii="Arial" w:hAnsi="Arial"/>
                <w:color w:val="000000"/>
                <w:kern w:val="0"/>
                <w:sz w:val="20"/>
                <w:szCs w:val="20"/>
                <w:lang w:bidi="ar-SA"/>
              </w:rPr>
              <w:t>51 ab</w:t>
            </w:r>
          </w:p>
        </w:tc>
        <w:tc>
          <w:tcPr>
            <w:tcW w:w="852"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cs="Arial" w:ascii="Arial" w:hAnsi="Arial"/>
                <w:color w:val="000000"/>
                <w:kern w:val="0"/>
                <w:sz w:val="20"/>
                <w:szCs w:val="20"/>
                <w:lang w:bidi="ar-SA"/>
              </w:rPr>
              <w:t>75 a</w:t>
            </w:r>
          </w:p>
        </w:tc>
        <w:tc>
          <w:tcPr>
            <w:tcW w:w="1133"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cs="Arial" w:ascii="Arial" w:hAnsi="Arial"/>
                <w:color w:val="000000"/>
                <w:kern w:val="0"/>
                <w:sz w:val="20"/>
                <w:szCs w:val="20"/>
                <w:lang w:bidi="ar-SA"/>
              </w:rPr>
              <w:t>90 abc</w:t>
            </w:r>
          </w:p>
        </w:tc>
        <w:tc>
          <w:tcPr>
            <w:tcW w:w="1270"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cs="Arial" w:ascii="Arial" w:hAnsi="Arial"/>
                <w:color w:val="000000"/>
                <w:kern w:val="0"/>
                <w:sz w:val="20"/>
                <w:szCs w:val="20"/>
                <w:lang w:bidi="ar-SA"/>
              </w:rPr>
              <w:t>92 abc</w:t>
            </w:r>
          </w:p>
        </w:tc>
      </w:tr>
      <w:tr>
        <w:trPr/>
        <w:tc>
          <w:tcPr>
            <w:tcW w:w="1275"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eastAsia="Times New Roman" w:cs="Arial" w:ascii="Arial" w:hAnsi="Arial"/>
                <w:color w:val="000000"/>
                <w:kern w:val="0"/>
                <w:sz w:val="20"/>
                <w:szCs w:val="20"/>
                <w:lang w:val="pt-BR" w:bidi="ar-SA"/>
              </w:rPr>
              <w:t>Tifton 85</w:t>
            </w:r>
          </w:p>
        </w:tc>
        <w:tc>
          <w:tcPr>
            <w:tcW w:w="1844"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eastAsia="Times New Roman" w:cs="Arial" w:ascii="Arial" w:hAnsi="Arial"/>
                <w:color w:val="000000"/>
                <w:kern w:val="0"/>
                <w:sz w:val="20"/>
                <w:szCs w:val="20"/>
                <w:lang w:val="pt-BR" w:bidi="ar-SA"/>
              </w:rPr>
              <w:t>73,4 bc</w:t>
            </w:r>
          </w:p>
        </w:tc>
        <w:tc>
          <w:tcPr>
            <w:tcW w:w="1843"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eastAsia="Times New Roman" w:cs="Arial" w:ascii="Arial" w:hAnsi="Arial"/>
                <w:color w:val="000000"/>
                <w:kern w:val="0"/>
                <w:sz w:val="20"/>
                <w:szCs w:val="20"/>
                <w:lang w:val="pt-BR" w:bidi="ar-SA"/>
              </w:rPr>
              <w:t>50,3 abc</w:t>
            </w:r>
          </w:p>
        </w:tc>
        <w:tc>
          <w:tcPr>
            <w:tcW w:w="849"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cs="Arial" w:ascii="Arial" w:hAnsi="Arial"/>
                <w:color w:val="000000"/>
                <w:kern w:val="0"/>
                <w:sz w:val="20"/>
                <w:szCs w:val="20"/>
                <w:lang w:bidi="ar-SA"/>
              </w:rPr>
              <w:t>71 ab</w:t>
            </w:r>
          </w:p>
        </w:tc>
        <w:tc>
          <w:tcPr>
            <w:tcW w:w="852"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cs="Arial" w:ascii="Arial" w:hAnsi="Arial"/>
                <w:color w:val="000000"/>
                <w:kern w:val="0"/>
                <w:sz w:val="20"/>
                <w:szCs w:val="20"/>
                <w:lang w:bidi="ar-SA"/>
              </w:rPr>
              <w:t>81 a</w:t>
            </w:r>
          </w:p>
        </w:tc>
        <w:tc>
          <w:tcPr>
            <w:tcW w:w="1133"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cs="Arial" w:ascii="Arial" w:hAnsi="Arial"/>
                <w:color w:val="000000"/>
                <w:kern w:val="0"/>
                <w:sz w:val="20"/>
                <w:szCs w:val="20"/>
                <w:lang w:bidi="ar-SA"/>
              </w:rPr>
              <w:t>100 abc</w:t>
            </w:r>
          </w:p>
        </w:tc>
        <w:tc>
          <w:tcPr>
            <w:tcW w:w="1270"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cs="Arial" w:ascii="Arial" w:hAnsi="Arial"/>
                <w:color w:val="000000"/>
                <w:kern w:val="0"/>
                <w:sz w:val="20"/>
                <w:szCs w:val="20"/>
                <w:lang w:bidi="ar-SA"/>
              </w:rPr>
              <w:t>92 abc</w:t>
            </w:r>
          </w:p>
        </w:tc>
      </w:tr>
      <w:tr>
        <w:trPr/>
        <w:tc>
          <w:tcPr>
            <w:tcW w:w="1275"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eastAsia="Times New Roman" w:cs="Arial" w:ascii="Arial" w:hAnsi="Arial"/>
                <w:color w:val="000000"/>
                <w:kern w:val="0"/>
                <w:sz w:val="20"/>
                <w:szCs w:val="20"/>
                <w:lang w:val="pt-BR" w:bidi="ar-SA"/>
              </w:rPr>
              <w:t>MG5</w:t>
            </w:r>
          </w:p>
        </w:tc>
        <w:tc>
          <w:tcPr>
            <w:tcW w:w="1844"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eastAsia="Times New Roman" w:cs="Arial" w:ascii="Arial" w:hAnsi="Arial"/>
                <w:color w:val="000000"/>
                <w:kern w:val="0"/>
                <w:sz w:val="20"/>
                <w:szCs w:val="20"/>
                <w:lang w:val="pt-BR" w:bidi="ar-SA"/>
              </w:rPr>
              <w:t>93,7 bc</w:t>
            </w:r>
          </w:p>
        </w:tc>
        <w:tc>
          <w:tcPr>
            <w:tcW w:w="1843"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eastAsia="Times New Roman" w:cs="Arial" w:ascii="Arial" w:hAnsi="Arial"/>
                <w:color w:val="000000"/>
                <w:kern w:val="0"/>
                <w:sz w:val="20"/>
                <w:szCs w:val="20"/>
                <w:lang w:val="pt-BR" w:bidi="ar-SA"/>
              </w:rPr>
              <w:t>72,2 bc</w:t>
            </w:r>
          </w:p>
        </w:tc>
        <w:tc>
          <w:tcPr>
            <w:tcW w:w="849"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cs="Arial" w:ascii="Arial" w:hAnsi="Arial"/>
                <w:color w:val="000000"/>
                <w:kern w:val="0"/>
                <w:sz w:val="20"/>
                <w:szCs w:val="20"/>
                <w:lang w:bidi="ar-SA"/>
              </w:rPr>
              <w:t>13 b</w:t>
            </w:r>
          </w:p>
        </w:tc>
        <w:tc>
          <w:tcPr>
            <w:tcW w:w="852"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cs="Arial" w:ascii="Arial" w:hAnsi="Arial"/>
                <w:color w:val="000000"/>
                <w:kern w:val="0"/>
                <w:sz w:val="20"/>
                <w:szCs w:val="20"/>
                <w:lang w:bidi="ar-SA"/>
              </w:rPr>
              <w:t>27 ab</w:t>
            </w:r>
          </w:p>
        </w:tc>
        <w:tc>
          <w:tcPr>
            <w:tcW w:w="1133"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cs="Arial" w:ascii="Arial" w:hAnsi="Arial"/>
                <w:color w:val="000000"/>
                <w:kern w:val="0"/>
                <w:sz w:val="20"/>
                <w:szCs w:val="20"/>
                <w:lang w:bidi="ar-SA"/>
              </w:rPr>
              <w:t>38 cd</w:t>
            </w:r>
          </w:p>
        </w:tc>
        <w:tc>
          <w:tcPr>
            <w:tcW w:w="1270"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cs="Arial" w:ascii="Arial" w:hAnsi="Arial"/>
                <w:color w:val="000000"/>
                <w:kern w:val="0"/>
                <w:sz w:val="20"/>
                <w:szCs w:val="20"/>
                <w:lang w:bidi="ar-SA"/>
              </w:rPr>
              <w:t>39 cd</w:t>
            </w:r>
          </w:p>
        </w:tc>
      </w:tr>
      <w:tr>
        <w:trPr/>
        <w:tc>
          <w:tcPr>
            <w:tcW w:w="1275"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eastAsia="Times New Roman" w:cs="Arial" w:ascii="Arial" w:hAnsi="Arial"/>
                <w:color w:val="000000"/>
                <w:kern w:val="0"/>
                <w:sz w:val="20"/>
                <w:szCs w:val="20"/>
                <w:lang w:val="pt-BR" w:bidi="ar-SA"/>
              </w:rPr>
              <w:t>C. Paredão</w:t>
            </w:r>
          </w:p>
        </w:tc>
        <w:tc>
          <w:tcPr>
            <w:tcW w:w="1844"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eastAsia="Times New Roman" w:cs="Arial" w:ascii="Arial" w:hAnsi="Arial"/>
                <w:color w:val="000000"/>
                <w:kern w:val="0"/>
                <w:sz w:val="20"/>
                <w:szCs w:val="20"/>
                <w:lang w:val="pt-BR" w:bidi="ar-SA"/>
              </w:rPr>
              <w:t>95,8 c</w:t>
            </w:r>
          </w:p>
        </w:tc>
        <w:tc>
          <w:tcPr>
            <w:tcW w:w="1843"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eastAsia="Times New Roman" w:cs="Arial" w:ascii="Arial" w:hAnsi="Arial"/>
                <w:color w:val="000000"/>
                <w:kern w:val="0"/>
                <w:sz w:val="20"/>
                <w:szCs w:val="20"/>
                <w:lang w:val="pt-BR" w:bidi="ar-SA"/>
              </w:rPr>
              <w:t>96,5 c</w:t>
            </w:r>
          </w:p>
        </w:tc>
        <w:tc>
          <w:tcPr>
            <w:tcW w:w="849"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cs="Arial" w:ascii="Arial" w:hAnsi="Arial"/>
                <w:color w:val="000000"/>
                <w:kern w:val="0"/>
                <w:sz w:val="20"/>
                <w:szCs w:val="20"/>
                <w:lang w:bidi="ar-SA"/>
              </w:rPr>
              <w:t>43 ab</w:t>
            </w:r>
          </w:p>
        </w:tc>
        <w:tc>
          <w:tcPr>
            <w:tcW w:w="852"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cs="Arial" w:ascii="Arial" w:hAnsi="Arial"/>
                <w:color w:val="000000"/>
                <w:kern w:val="0"/>
                <w:sz w:val="20"/>
                <w:szCs w:val="20"/>
                <w:lang w:bidi="ar-SA"/>
              </w:rPr>
              <w:t>50 ab</w:t>
            </w:r>
          </w:p>
        </w:tc>
        <w:tc>
          <w:tcPr>
            <w:tcW w:w="1133"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cs="Arial" w:ascii="Arial" w:hAnsi="Arial"/>
                <w:color w:val="000000"/>
                <w:kern w:val="0"/>
                <w:sz w:val="20"/>
                <w:szCs w:val="20"/>
                <w:lang w:bidi="ar-SA"/>
              </w:rPr>
              <w:t>88 abc</w:t>
            </w:r>
          </w:p>
        </w:tc>
        <w:tc>
          <w:tcPr>
            <w:tcW w:w="1270"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cs="Arial" w:ascii="Arial" w:hAnsi="Arial"/>
                <w:color w:val="000000"/>
                <w:kern w:val="0"/>
                <w:sz w:val="20"/>
                <w:szCs w:val="20"/>
                <w:lang w:bidi="ar-SA"/>
              </w:rPr>
              <w:t>58 cd</w:t>
            </w:r>
          </w:p>
        </w:tc>
      </w:tr>
      <w:tr>
        <w:trPr/>
        <w:tc>
          <w:tcPr>
            <w:tcW w:w="1275"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eastAsia="Times New Roman" w:cs="Arial" w:ascii="Arial" w:hAnsi="Arial"/>
                <w:color w:val="000000"/>
                <w:kern w:val="0"/>
                <w:sz w:val="20"/>
                <w:szCs w:val="20"/>
                <w:lang w:val="pt-BR" w:bidi="ar-SA"/>
              </w:rPr>
              <w:t>C. Mavuno</w:t>
            </w:r>
          </w:p>
        </w:tc>
        <w:tc>
          <w:tcPr>
            <w:tcW w:w="1844"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eastAsia="Times New Roman" w:cs="Arial" w:ascii="Arial" w:hAnsi="Arial"/>
                <w:color w:val="000000"/>
                <w:kern w:val="0"/>
                <w:sz w:val="20"/>
                <w:szCs w:val="20"/>
                <w:lang w:val="pt-BR" w:bidi="ar-SA"/>
              </w:rPr>
              <w:t>97,6 c</w:t>
            </w:r>
          </w:p>
        </w:tc>
        <w:tc>
          <w:tcPr>
            <w:tcW w:w="1843"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eastAsia="Times New Roman" w:cs="Arial" w:ascii="Arial" w:hAnsi="Arial"/>
                <w:color w:val="000000"/>
                <w:kern w:val="0"/>
                <w:sz w:val="20"/>
                <w:szCs w:val="20"/>
                <w:lang w:val="pt-BR" w:bidi="ar-SA"/>
              </w:rPr>
              <w:t>97,8 c</w:t>
            </w:r>
          </w:p>
        </w:tc>
        <w:tc>
          <w:tcPr>
            <w:tcW w:w="849"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cs="Arial" w:ascii="Arial" w:hAnsi="Arial"/>
                <w:color w:val="000000"/>
                <w:kern w:val="0"/>
                <w:sz w:val="20"/>
                <w:szCs w:val="20"/>
                <w:lang w:bidi="ar-SA"/>
              </w:rPr>
              <w:t>0 b</w:t>
            </w:r>
          </w:p>
        </w:tc>
        <w:tc>
          <w:tcPr>
            <w:tcW w:w="852"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cs="Arial" w:ascii="Arial" w:hAnsi="Arial"/>
                <w:color w:val="000000"/>
                <w:kern w:val="0"/>
                <w:sz w:val="20"/>
                <w:szCs w:val="20"/>
                <w:lang w:bidi="ar-SA"/>
              </w:rPr>
              <w:t>0 b</w:t>
            </w:r>
          </w:p>
        </w:tc>
        <w:tc>
          <w:tcPr>
            <w:tcW w:w="1133"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cs="Arial" w:ascii="Arial" w:hAnsi="Arial"/>
                <w:color w:val="000000"/>
                <w:kern w:val="0"/>
                <w:sz w:val="20"/>
                <w:szCs w:val="20"/>
                <w:lang w:bidi="ar-SA"/>
              </w:rPr>
              <w:t>0 d</w:t>
            </w:r>
          </w:p>
        </w:tc>
        <w:tc>
          <w:tcPr>
            <w:tcW w:w="1270"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cs="Arial" w:ascii="Arial" w:hAnsi="Arial"/>
                <w:color w:val="000000"/>
                <w:kern w:val="0"/>
                <w:sz w:val="20"/>
                <w:szCs w:val="20"/>
                <w:lang w:bidi="ar-SA"/>
              </w:rPr>
              <w:t>0 d</w:t>
            </w:r>
          </w:p>
        </w:tc>
      </w:tr>
      <w:tr>
        <w:trPr/>
        <w:tc>
          <w:tcPr>
            <w:tcW w:w="1275"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eastAsia="Times New Roman" w:cs="Arial" w:ascii="Arial" w:hAnsi="Arial"/>
                <w:color w:val="000000"/>
                <w:kern w:val="0"/>
                <w:sz w:val="20"/>
                <w:szCs w:val="20"/>
                <w:lang w:val="pt-BR" w:bidi="ar-SA"/>
              </w:rPr>
              <w:t>C. Aries</w:t>
            </w:r>
          </w:p>
        </w:tc>
        <w:tc>
          <w:tcPr>
            <w:tcW w:w="1844"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eastAsia="Times New Roman" w:cs="Arial" w:ascii="Arial" w:hAnsi="Arial"/>
                <w:color w:val="000000"/>
                <w:kern w:val="0"/>
                <w:sz w:val="20"/>
                <w:szCs w:val="20"/>
                <w:lang w:val="pt-BR" w:bidi="ar-SA"/>
              </w:rPr>
              <w:t>98,2 c</w:t>
            </w:r>
          </w:p>
        </w:tc>
        <w:tc>
          <w:tcPr>
            <w:tcW w:w="1843"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eastAsia="Times New Roman" w:cs="Arial" w:ascii="Arial" w:hAnsi="Arial"/>
                <w:color w:val="000000"/>
                <w:kern w:val="0"/>
                <w:sz w:val="20"/>
                <w:szCs w:val="20"/>
                <w:lang w:val="pt-BR" w:bidi="ar-SA"/>
              </w:rPr>
              <w:t>74,3 bc</w:t>
            </w:r>
          </w:p>
        </w:tc>
        <w:tc>
          <w:tcPr>
            <w:tcW w:w="849"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cs="Arial" w:ascii="Arial" w:hAnsi="Arial"/>
                <w:color w:val="000000"/>
                <w:kern w:val="0"/>
                <w:sz w:val="20"/>
                <w:szCs w:val="20"/>
                <w:lang w:bidi="ar-SA"/>
              </w:rPr>
              <w:t>59 ab</w:t>
            </w:r>
          </w:p>
        </w:tc>
        <w:tc>
          <w:tcPr>
            <w:tcW w:w="852"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cs="Arial" w:ascii="Arial" w:hAnsi="Arial"/>
                <w:color w:val="000000"/>
                <w:kern w:val="0"/>
                <w:sz w:val="20"/>
                <w:szCs w:val="20"/>
                <w:lang w:bidi="ar-SA"/>
              </w:rPr>
              <w:t>91 a</w:t>
            </w:r>
          </w:p>
        </w:tc>
        <w:tc>
          <w:tcPr>
            <w:tcW w:w="1133"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cs="Arial" w:ascii="Arial" w:hAnsi="Arial"/>
                <w:color w:val="000000"/>
                <w:kern w:val="0"/>
                <w:sz w:val="20"/>
                <w:szCs w:val="20"/>
                <w:lang w:bidi="ar-SA"/>
              </w:rPr>
              <w:t>123 ab</w:t>
            </w:r>
          </w:p>
        </w:tc>
        <w:tc>
          <w:tcPr>
            <w:tcW w:w="1270"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cs="Arial" w:ascii="Arial" w:hAnsi="Arial"/>
                <w:color w:val="000000"/>
                <w:kern w:val="0"/>
                <w:sz w:val="20"/>
                <w:szCs w:val="20"/>
                <w:lang w:bidi="ar-SA"/>
              </w:rPr>
              <w:t>126 ab</w:t>
            </w:r>
          </w:p>
        </w:tc>
      </w:tr>
      <w:tr>
        <w:trPr/>
        <w:tc>
          <w:tcPr>
            <w:tcW w:w="1275"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eastAsia="Times New Roman" w:cs="Arial" w:ascii="Arial" w:hAnsi="Arial"/>
                <w:color w:val="000000"/>
                <w:kern w:val="0"/>
                <w:sz w:val="20"/>
                <w:szCs w:val="20"/>
                <w:lang w:val="pt-BR" w:bidi="ar-SA"/>
              </w:rPr>
              <w:t>C. Braúna</w:t>
            </w:r>
          </w:p>
        </w:tc>
        <w:tc>
          <w:tcPr>
            <w:tcW w:w="1844"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eastAsia="Times New Roman" w:cs="Arial" w:ascii="Arial" w:hAnsi="Arial"/>
                <w:color w:val="000000"/>
                <w:kern w:val="0"/>
                <w:sz w:val="20"/>
                <w:szCs w:val="20"/>
                <w:lang w:val="pt-BR" w:bidi="ar-SA"/>
              </w:rPr>
              <w:t>98,6 c</w:t>
            </w:r>
          </w:p>
        </w:tc>
        <w:tc>
          <w:tcPr>
            <w:tcW w:w="1843"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eastAsia="Times New Roman" w:cs="Arial" w:ascii="Arial" w:hAnsi="Arial"/>
                <w:color w:val="000000"/>
                <w:kern w:val="0"/>
                <w:sz w:val="20"/>
                <w:szCs w:val="20"/>
                <w:lang w:val="pt-BR" w:bidi="ar-SA"/>
              </w:rPr>
              <w:t>100 c</w:t>
            </w:r>
          </w:p>
        </w:tc>
        <w:tc>
          <w:tcPr>
            <w:tcW w:w="849"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cs="Arial" w:ascii="Arial" w:hAnsi="Arial"/>
                <w:color w:val="000000"/>
                <w:kern w:val="0"/>
                <w:sz w:val="20"/>
                <w:szCs w:val="20"/>
                <w:lang w:bidi="ar-SA"/>
              </w:rPr>
              <w:t>0 b</w:t>
            </w:r>
          </w:p>
        </w:tc>
        <w:tc>
          <w:tcPr>
            <w:tcW w:w="852"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cs="Arial" w:ascii="Arial" w:hAnsi="Arial"/>
                <w:color w:val="000000"/>
                <w:kern w:val="0"/>
                <w:sz w:val="20"/>
                <w:szCs w:val="20"/>
                <w:lang w:bidi="ar-SA"/>
              </w:rPr>
              <w:t>0 b</w:t>
            </w:r>
          </w:p>
        </w:tc>
        <w:tc>
          <w:tcPr>
            <w:tcW w:w="1133"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cs="Arial" w:ascii="Arial" w:hAnsi="Arial"/>
                <w:color w:val="000000"/>
                <w:kern w:val="0"/>
                <w:sz w:val="20"/>
                <w:szCs w:val="20"/>
                <w:lang w:bidi="ar-SA"/>
              </w:rPr>
              <w:t>0 d</w:t>
            </w:r>
          </w:p>
        </w:tc>
        <w:tc>
          <w:tcPr>
            <w:tcW w:w="1270"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cs="Arial" w:ascii="Arial" w:hAnsi="Arial"/>
                <w:color w:val="000000"/>
                <w:kern w:val="0"/>
                <w:sz w:val="20"/>
                <w:szCs w:val="20"/>
                <w:lang w:bidi="ar-SA"/>
              </w:rPr>
              <w:t>0 d</w:t>
            </w:r>
          </w:p>
        </w:tc>
      </w:tr>
      <w:tr>
        <w:trPr/>
        <w:tc>
          <w:tcPr>
            <w:tcW w:w="1275"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eastAsia="Times New Roman" w:cs="Arial" w:ascii="Arial" w:hAnsi="Arial"/>
                <w:color w:val="000000"/>
                <w:kern w:val="0"/>
                <w:sz w:val="20"/>
                <w:szCs w:val="20"/>
                <w:lang w:val="pt-BR" w:bidi="ar-SA"/>
              </w:rPr>
              <w:t>C. Aruana</w:t>
            </w:r>
          </w:p>
        </w:tc>
        <w:tc>
          <w:tcPr>
            <w:tcW w:w="1844"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eastAsia="Times New Roman" w:cs="Arial" w:ascii="Arial" w:hAnsi="Arial"/>
                <w:color w:val="000000"/>
                <w:kern w:val="0"/>
                <w:sz w:val="20"/>
                <w:szCs w:val="20"/>
                <w:lang w:val="pt-BR" w:bidi="ar-SA"/>
              </w:rPr>
              <w:t>99,5 c</w:t>
            </w:r>
          </w:p>
        </w:tc>
        <w:tc>
          <w:tcPr>
            <w:tcW w:w="1843"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eastAsia="Times New Roman" w:cs="Arial" w:ascii="Arial" w:hAnsi="Arial"/>
                <w:color w:val="000000"/>
                <w:kern w:val="0"/>
                <w:sz w:val="20"/>
                <w:szCs w:val="20"/>
                <w:lang w:val="pt-BR" w:bidi="ar-SA"/>
              </w:rPr>
              <w:t>76,2 bc</w:t>
            </w:r>
          </w:p>
        </w:tc>
        <w:tc>
          <w:tcPr>
            <w:tcW w:w="849"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cs="Arial" w:ascii="Arial" w:hAnsi="Arial"/>
                <w:color w:val="000000"/>
                <w:kern w:val="0"/>
                <w:sz w:val="20"/>
                <w:szCs w:val="20"/>
                <w:lang w:bidi="ar-SA"/>
              </w:rPr>
              <w:t>48 ab</w:t>
            </w:r>
          </w:p>
        </w:tc>
        <w:tc>
          <w:tcPr>
            <w:tcW w:w="852"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cs="Arial" w:ascii="Arial" w:hAnsi="Arial"/>
                <w:color w:val="000000"/>
                <w:kern w:val="0"/>
                <w:sz w:val="20"/>
                <w:szCs w:val="20"/>
                <w:lang w:bidi="ar-SA"/>
              </w:rPr>
              <w:t>93 a</w:t>
            </w:r>
          </w:p>
        </w:tc>
        <w:tc>
          <w:tcPr>
            <w:tcW w:w="1133"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cs="Arial" w:ascii="Arial" w:hAnsi="Arial"/>
                <w:color w:val="000000"/>
                <w:kern w:val="0"/>
                <w:sz w:val="20"/>
                <w:szCs w:val="20"/>
                <w:lang w:bidi="ar-SA"/>
              </w:rPr>
              <w:t>111 abc</w:t>
            </w:r>
          </w:p>
        </w:tc>
        <w:tc>
          <w:tcPr>
            <w:tcW w:w="1270" w:type="dxa"/>
            <w:tcBorders>
              <w:top w:val="nil"/>
              <w:left w:val="nil"/>
              <w:bottom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cs="Arial" w:ascii="Arial" w:hAnsi="Arial"/>
                <w:color w:val="000000"/>
                <w:kern w:val="0"/>
                <w:sz w:val="20"/>
                <w:szCs w:val="20"/>
                <w:lang w:bidi="ar-SA"/>
              </w:rPr>
              <w:t>100 abc</w:t>
            </w:r>
          </w:p>
        </w:tc>
      </w:tr>
      <w:tr>
        <w:trPr/>
        <w:tc>
          <w:tcPr>
            <w:tcW w:w="1275" w:type="dxa"/>
            <w:tcBorders>
              <w:top w:val="nil"/>
              <w:left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eastAsia="Times New Roman" w:cs="Arial" w:ascii="Arial" w:hAnsi="Arial"/>
                <w:color w:val="000000"/>
                <w:kern w:val="0"/>
                <w:sz w:val="20"/>
                <w:szCs w:val="20"/>
                <w:lang w:val="pt-BR" w:bidi="ar-SA"/>
              </w:rPr>
              <w:t>Tangola</w:t>
            </w:r>
          </w:p>
        </w:tc>
        <w:tc>
          <w:tcPr>
            <w:tcW w:w="1844" w:type="dxa"/>
            <w:tcBorders>
              <w:top w:val="nil"/>
              <w:left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eastAsia="Times New Roman" w:cs="Arial" w:ascii="Arial" w:hAnsi="Arial"/>
                <w:color w:val="000000"/>
                <w:kern w:val="0"/>
                <w:sz w:val="20"/>
                <w:szCs w:val="20"/>
                <w:lang w:val="pt-BR" w:bidi="ar-SA"/>
              </w:rPr>
              <w:t>100 c</w:t>
            </w:r>
          </w:p>
        </w:tc>
        <w:tc>
          <w:tcPr>
            <w:tcW w:w="1843" w:type="dxa"/>
            <w:tcBorders>
              <w:top w:val="nil"/>
              <w:left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eastAsia="Times New Roman" w:cs="Arial" w:ascii="Arial" w:hAnsi="Arial"/>
                <w:color w:val="000000"/>
                <w:kern w:val="0"/>
                <w:sz w:val="20"/>
                <w:szCs w:val="20"/>
                <w:lang w:val="pt-BR" w:bidi="ar-SA"/>
              </w:rPr>
              <w:t>82,8 bc</w:t>
            </w:r>
          </w:p>
        </w:tc>
        <w:tc>
          <w:tcPr>
            <w:tcW w:w="849" w:type="dxa"/>
            <w:tcBorders>
              <w:top w:val="nil"/>
              <w:left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cs="Arial" w:ascii="Arial" w:hAnsi="Arial"/>
                <w:color w:val="000000"/>
                <w:kern w:val="0"/>
                <w:sz w:val="20"/>
                <w:szCs w:val="20"/>
                <w:lang w:bidi="ar-SA"/>
              </w:rPr>
              <w:t>35 ab</w:t>
            </w:r>
          </w:p>
        </w:tc>
        <w:tc>
          <w:tcPr>
            <w:tcW w:w="852" w:type="dxa"/>
            <w:tcBorders>
              <w:top w:val="nil"/>
              <w:left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cs="Arial" w:ascii="Arial" w:hAnsi="Arial"/>
                <w:color w:val="000000"/>
                <w:kern w:val="0"/>
                <w:sz w:val="20"/>
                <w:szCs w:val="20"/>
                <w:lang w:bidi="ar-SA"/>
              </w:rPr>
              <w:t>80 a</w:t>
            </w:r>
          </w:p>
        </w:tc>
        <w:tc>
          <w:tcPr>
            <w:tcW w:w="1133" w:type="dxa"/>
            <w:tcBorders>
              <w:top w:val="nil"/>
              <w:left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cs="Arial" w:ascii="Arial" w:hAnsi="Arial"/>
                <w:color w:val="000000"/>
                <w:kern w:val="0"/>
                <w:sz w:val="20"/>
                <w:szCs w:val="20"/>
                <w:lang w:bidi="ar-SA"/>
              </w:rPr>
              <w:t>68 bcd</w:t>
            </w:r>
          </w:p>
        </w:tc>
        <w:tc>
          <w:tcPr>
            <w:tcW w:w="1270" w:type="dxa"/>
            <w:tcBorders>
              <w:top w:val="nil"/>
              <w:left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cs="Arial" w:ascii="Arial" w:hAnsi="Arial"/>
                <w:color w:val="000000"/>
                <w:kern w:val="0"/>
                <w:sz w:val="20"/>
                <w:szCs w:val="20"/>
                <w:lang w:bidi="ar-SA"/>
              </w:rPr>
              <w:t>77 bc</w:t>
            </w:r>
          </w:p>
        </w:tc>
      </w:tr>
      <w:tr>
        <w:trPr/>
        <w:tc>
          <w:tcPr>
            <w:tcW w:w="1275" w:type="dxa"/>
            <w:tcBorders>
              <w:left w:val="nil"/>
              <w:right w:val="nil"/>
            </w:tcBorders>
            <w:vAlign w:val="bottom"/>
          </w:tcPr>
          <w:p>
            <w:pPr>
              <w:pStyle w:val="Normal"/>
              <w:widowControl/>
              <w:pBdr/>
              <w:spacing w:before="0" w:after="0"/>
              <w:jc w:val="center"/>
              <w:rPr>
                <w:rFonts w:ascii="Arial" w:hAnsi="Arial" w:eastAsia="Times New Roman" w:cs="Arial"/>
                <w:color w:val="000000"/>
                <w:sz w:val="20"/>
                <w:szCs w:val="20"/>
                <w:lang w:val="pt-BR"/>
              </w:rPr>
            </w:pPr>
            <w:r>
              <w:rPr>
                <w:rFonts w:eastAsia="Times New Roman" w:cs="Arial" w:ascii="Arial" w:hAnsi="Arial"/>
                <w:color w:val="000000"/>
                <w:kern w:val="0"/>
                <w:sz w:val="20"/>
                <w:szCs w:val="20"/>
                <w:lang w:val="pt-BR" w:bidi="ar-SA"/>
              </w:rPr>
              <w:t>Erro padrão</w:t>
            </w:r>
          </w:p>
        </w:tc>
        <w:tc>
          <w:tcPr>
            <w:tcW w:w="1844" w:type="dxa"/>
            <w:tcBorders>
              <w:left w:val="nil"/>
              <w:right w:val="nil"/>
            </w:tcBorders>
            <w:vAlign w:val="bottom"/>
          </w:tcPr>
          <w:p>
            <w:pPr>
              <w:pStyle w:val="Normal"/>
              <w:widowControl/>
              <w:pBdr/>
              <w:spacing w:before="0" w:after="0"/>
              <w:jc w:val="center"/>
              <w:rPr>
                <w:rFonts w:ascii="Arial" w:hAnsi="Arial" w:eastAsia="Times New Roman" w:cs="Arial"/>
                <w:color w:val="000000"/>
                <w:sz w:val="20"/>
                <w:szCs w:val="20"/>
                <w:lang w:val="pt-BR"/>
              </w:rPr>
            </w:pPr>
            <w:r>
              <w:rPr>
                <w:rFonts w:eastAsia="Times New Roman" w:cs="Arial" w:ascii="Arial" w:hAnsi="Arial"/>
                <w:color w:val="000000"/>
                <w:kern w:val="0"/>
                <w:sz w:val="20"/>
                <w:szCs w:val="20"/>
                <w:lang w:val="pt-BR" w:bidi="ar-SA"/>
              </w:rPr>
              <w:t>10,6</w:t>
            </w:r>
          </w:p>
        </w:tc>
        <w:tc>
          <w:tcPr>
            <w:tcW w:w="1843" w:type="dxa"/>
            <w:tcBorders>
              <w:left w:val="nil"/>
              <w:right w:val="nil"/>
            </w:tcBorders>
            <w:vAlign w:val="bottom"/>
          </w:tcPr>
          <w:p>
            <w:pPr>
              <w:pStyle w:val="Normal"/>
              <w:widowControl/>
              <w:pBdr/>
              <w:spacing w:before="0" w:after="0"/>
              <w:jc w:val="center"/>
              <w:rPr>
                <w:rFonts w:ascii="Arial" w:hAnsi="Arial" w:eastAsia="Times New Roman" w:cs="Arial"/>
                <w:color w:val="000000"/>
                <w:sz w:val="20"/>
                <w:szCs w:val="20"/>
                <w:lang w:val="pt-BR"/>
              </w:rPr>
            </w:pPr>
            <w:r>
              <w:rPr>
                <w:rFonts w:eastAsia="Times New Roman" w:cs="Arial" w:ascii="Arial" w:hAnsi="Arial"/>
                <w:color w:val="000000"/>
                <w:kern w:val="0"/>
                <w:sz w:val="20"/>
                <w:szCs w:val="20"/>
                <w:lang w:val="pt-BR" w:bidi="ar-SA"/>
              </w:rPr>
              <w:t>10,6</w:t>
            </w:r>
          </w:p>
        </w:tc>
        <w:tc>
          <w:tcPr>
            <w:tcW w:w="849" w:type="dxa"/>
            <w:tcBorders>
              <w:left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eastAsia="Times New Roman" w:cs="Arial" w:ascii="Arial" w:hAnsi="Arial"/>
                <w:kern w:val="0"/>
                <w:sz w:val="20"/>
                <w:szCs w:val="20"/>
                <w:lang w:val="pt-BR" w:eastAsia="pt-BR" w:bidi="ar-SA"/>
              </w:rPr>
              <w:t>17</w:t>
            </w:r>
          </w:p>
        </w:tc>
        <w:tc>
          <w:tcPr>
            <w:tcW w:w="852" w:type="dxa"/>
            <w:tcBorders>
              <w:left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eastAsia="Times New Roman" w:cs="Arial" w:ascii="Arial" w:hAnsi="Arial"/>
                <w:kern w:val="0"/>
                <w:sz w:val="20"/>
                <w:szCs w:val="20"/>
                <w:lang w:val="pt-BR" w:eastAsia="pt-BR" w:bidi="ar-SA"/>
              </w:rPr>
              <w:t>16</w:t>
            </w:r>
          </w:p>
        </w:tc>
        <w:tc>
          <w:tcPr>
            <w:tcW w:w="1133" w:type="dxa"/>
            <w:tcBorders>
              <w:left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r>
              <w:rPr>
                <w:rFonts w:eastAsia="Times New Roman" w:cs="Arial" w:ascii="Arial" w:hAnsi="Arial"/>
                <w:kern w:val="0"/>
                <w:sz w:val="20"/>
                <w:szCs w:val="20"/>
                <w:lang w:val="pt-BR" w:eastAsia="pt-BR" w:bidi="ar-SA"/>
              </w:rPr>
              <w:t>24</w:t>
            </w:r>
          </w:p>
        </w:tc>
        <w:tc>
          <w:tcPr>
            <w:tcW w:w="1270" w:type="dxa"/>
            <w:tcBorders>
              <w:left w:val="nil"/>
              <w:right w:val="nil"/>
            </w:tcBorders>
            <w:vAlign w:val="bottom"/>
          </w:tcPr>
          <w:p>
            <w:pPr>
              <w:pStyle w:val="Normal"/>
              <w:widowControl/>
              <w:pBdr/>
              <w:spacing w:before="0" w:after="0"/>
              <w:jc w:val="center"/>
              <w:rPr>
                <w:rFonts w:ascii="Arial" w:hAnsi="Arial" w:eastAsia="Times New Roman" w:cs="Arial"/>
                <w:sz w:val="20"/>
                <w:szCs w:val="20"/>
                <w:lang w:val="pt-BR" w:eastAsia="pt-BR"/>
              </w:rPr>
            </w:pPr>
            <w:bookmarkStart w:id="10" w:name="_Hlk139467507"/>
            <w:r>
              <w:rPr>
                <w:rFonts w:eastAsia="Times New Roman" w:cs="Arial" w:ascii="Arial" w:hAnsi="Arial"/>
                <w:kern w:val="0"/>
                <w:sz w:val="20"/>
                <w:szCs w:val="20"/>
                <w:lang w:val="pt-BR" w:eastAsia="pt-BR" w:bidi="ar-SA"/>
              </w:rPr>
              <w:t>21</w:t>
            </w:r>
            <w:bookmarkEnd w:id="10"/>
          </w:p>
        </w:tc>
      </w:tr>
    </w:tbl>
    <w:p>
      <w:pPr>
        <w:pStyle w:val="Normal"/>
        <w:pBdr/>
        <w:jc w:val="both"/>
        <w:rPr>
          <w:rFonts w:ascii="Arial" w:hAnsi="Arial" w:eastAsia="Times New Roman" w:cs="Arial"/>
          <w:sz w:val="20"/>
          <w:szCs w:val="20"/>
          <w:lang w:val="pt-BR" w:eastAsia="pt-BR"/>
        </w:rPr>
      </w:pPr>
      <w:r>
        <w:rPr>
          <w:rFonts w:eastAsia="Times New Roman" w:cs="Arial" w:ascii="Arial" w:hAnsi="Arial"/>
          <w:sz w:val="20"/>
          <w:szCs w:val="20"/>
          <w:lang w:val="pt-BR" w:eastAsia="pt-BR"/>
        </w:rPr>
        <w:t>Médias seguidas de letra igual na mesma coluna não diferem entre si pelo Teste de Tukey a 5% de probabilidade (p&lt;0,05);</w:t>
      </w:r>
    </w:p>
    <w:p>
      <w:pPr>
        <w:pStyle w:val="Normal"/>
        <w:pBdr/>
        <w:jc w:val="both"/>
        <w:rPr>
          <w:rFonts w:ascii="Arial" w:hAnsi="Arial" w:eastAsia="Times New Roman" w:cs="Arial"/>
          <w:sz w:val="20"/>
          <w:szCs w:val="20"/>
          <w:lang w:val="pt-BR" w:eastAsia="pt-BR"/>
        </w:rPr>
      </w:pPr>
      <w:r>
        <w:rPr>
          <w:rFonts w:eastAsia="Times New Roman" w:cs="Arial" w:ascii="Arial" w:hAnsi="Arial"/>
          <w:sz w:val="20"/>
          <w:szCs w:val="20"/>
          <w:lang w:val="pt-BR" w:eastAsia="pt-BR"/>
        </w:rPr>
      </w:r>
    </w:p>
    <w:p>
      <w:pPr>
        <w:pStyle w:val="Normal"/>
        <w:pBdr/>
        <w:jc w:val="both"/>
        <w:rPr>
          <w:rFonts w:ascii="Arial" w:hAnsi="Arial" w:eastAsia="Times New Roman" w:cs="Arial"/>
          <w:sz w:val="22"/>
          <w:szCs w:val="22"/>
          <w:lang w:val="pt-BR" w:eastAsia="pt-BR"/>
        </w:rPr>
      </w:pPr>
      <w:r>
        <w:rPr>
          <w:rFonts w:eastAsia="Times New Roman" w:cs="Arial" w:ascii="Arial" w:hAnsi="Arial"/>
          <w:sz w:val="22"/>
          <w:szCs w:val="22"/>
          <w:lang w:val="pt-BR" w:eastAsia="pt-BR"/>
        </w:rPr>
        <w:t xml:space="preserve">Em relação ao perfilhamento das espécies, verificamos o percentual de retorno do número de perfilhos em relação a DPP original (Tabela 1). Constata-se que com exceção do Capim Braúna e do Capim Mavuno que não resistiram ao frio, e a MG-5 que apresentou recuperação inferior a 50% da DPP prévia, as demais espécies tiveram o retorno (parcial ou total) dos perfilhos a partir dos 60 dias após a última geada. </w:t>
      </w:r>
      <w:bookmarkStart w:id="11" w:name="_Hlk139467596"/>
      <w:r>
        <w:rPr>
          <w:rFonts w:eastAsia="Times New Roman" w:cs="Arial" w:ascii="Arial" w:hAnsi="Arial"/>
          <w:sz w:val="22"/>
          <w:szCs w:val="22"/>
          <w:lang w:val="pt-BR" w:eastAsia="pt-BR"/>
        </w:rPr>
        <w:t>Mesmo que os dados de produção de matéria seca não tenham sido avaliados, o incremento nos valores de DPP estão associados a recuperação da massa de forragem e do potencial fotossintético do dossel, assim espera-se que esta recuperação esteja associada a produção de forragem (BARRETA et al., 2023).</w:t>
      </w:r>
      <w:bookmarkEnd w:id="11"/>
    </w:p>
    <w:p>
      <w:pPr>
        <w:pStyle w:val="Normal"/>
        <w:pBdr/>
        <w:jc w:val="both"/>
        <w:rPr>
          <w:rFonts w:ascii="Arial" w:hAnsi="Arial" w:eastAsia="Times New Roman" w:cs="Arial"/>
          <w:sz w:val="22"/>
          <w:szCs w:val="22"/>
          <w:lang w:val="pt-BR" w:eastAsia="pt-BR"/>
        </w:rPr>
      </w:pPr>
      <w:r>
        <w:rPr>
          <w:rFonts w:eastAsia="Times New Roman" w:cs="Arial" w:ascii="Arial" w:hAnsi="Arial"/>
          <w:sz w:val="22"/>
          <w:szCs w:val="22"/>
          <w:lang w:val="pt-BR" w:eastAsia="pt-BR"/>
        </w:rPr>
        <w:t>O Capim Braúna e Mavuno apresentaram baixa tolerância ao frio, e as plantas não apresentaram rebrote após a estação fria. Nossos achados são contrários aos reportados por Felisbino (2022) e Rodrigues (2022) que descrevem estas cultivares como de “média tolerância ao frio”. Contudo, estes trabalhos foram conduzidos em uma região de clima tropical, onde o desafio de baixas temperaturas não significa necessariamente a ocorrência de geada. Esta ambiguidade quanto a inferências de “tolerância ao frio” pode incorrer ao posicionamento das espécies em regiões não propícias para o seu uso.</w:t>
      </w:r>
    </w:p>
    <w:p>
      <w:pPr>
        <w:pStyle w:val="Normal"/>
        <w:pBdr/>
        <w:ind w:firstLine="708"/>
        <w:jc w:val="both"/>
        <w:rPr>
          <w:rFonts w:ascii="Arial" w:hAnsi="Arial" w:eastAsia="Times New Roman" w:cs="Arial"/>
          <w:sz w:val="22"/>
          <w:szCs w:val="22"/>
          <w:lang w:val="pt-BR" w:eastAsia="pt-BR"/>
        </w:rPr>
      </w:pPr>
      <w:r>
        <w:rPr>
          <w:rFonts w:ascii="Arial" w:hAnsi="Arial"/>
          <w:b/>
          <w:bCs/>
          <w:color w:val="000000"/>
          <w:sz w:val="22"/>
          <w:szCs w:val="22"/>
          <w:u w:val="none" w:color="000000"/>
          <w:lang w:val="pt-BR"/>
        </w:rPr>
        <w:t xml:space="preserve">      </w:t>
      </w:r>
      <w:r>
        <w:rPr>
          <w:rFonts w:ascii="Arial" w:hAnsi="Arial"/>
          <w:color w:val="000000"/>
          <w:sz w:val="22"/>
          <w:szCs w:val="22"/>
          <w:u w:val="none" w:color="000000"/>
          <w:lang w:val="pt-BR"/>
        </w:rPr>
        <w:t xml:space="preserve">                   </w:t>
      </w:r>
    </w:p>
    <w:p>
      <w:pPr>
        <w:pStyle w:val="LOnormal"/>
        <w:jc w:val="both"/>
        <w:rPr>
          <w:rFonts w:ascii="Arial" w:hAnsi="Arial"/>
          <w:color w:val="000000"/>
          <w:sz w:val="22"/>
          <w:szCs w:val="22"/>
          <w:u w:val="none" w:color="000000"/>
          <w:lang w:val="pt-BR"/>
        </w:rPr>
      </w:pPr>
      <w:r>
        <w:rPr>
          <w:rFonts w:ascii="Arial" w:hAnsi="Arial"/>
          <w:b/>
          <w:bCs/>
          <w:color w:val="000000"/>
          <w:sz w:val="22"/>
          <w:szCs w:val="22"/>
          <w:u w:val="none" w:color="000000"/>
          <w:lang w:val="pt-BR"/>
        </w:rPr>
        <w:t>Conclusão</w:t>
      </w:r>
      <w:r>
        <w:rPr>
          <w:rFonts w:ascii="Arial" w:hAnsi="Arial"/>
          <w:color w:val="000000"/>
          <w:sz w:val="22"/>
          <w:szCs w:val="22"/>
          <w:u w:val="none" w:color="000000"/>
          <w:lang w:val="pt-BR"/>
        </w:rPr>
        <w:t>:</w:t>
      </w:r>
      <w:r>
        <w:rPr>
          <w:lang w:val="pt-BR"/>
        </w:rPr>
        <w:t xml:space="preserve"> </w:t>
      </w:r>
      <w:r>
        <w:rPr>
          <w:rFonts w:ascii="Arial" w:hAnsi="Arial"/>
          <w:color w:val="000000"/>
          <w:sz w:val="22"/>
          <w:szCs w:val="22"/>
          <w:u w:val="none" w:color="000000"/>
          <w:lang w:val="pt-BR"/>
        </w:rPr>
        <w:t xml:space="preserve">As espécies Missioneira Gigante, o Capim Prima e a Tifton 85 apresentaram maior tolerância ao frio, enquanto as espécies dos gêneros </w:t>
      </w:r>
      <w:r>
        <w:rPr>
          <w:rFonts w:ascii="Arial" w:hAnsi="Arial"/>
          <w:i/>
          <w:iCs/>
          <w:color w:val="000000"/>
          <w:sz w:val="22"/>
          <w:szCs w:val="22"/>
          <w:u w:val="none" w:color="000000"/>
          <w:lang w:val="pt-BR"/>
        </w:rPr>
        <w:t>Panicum</w:t>
      </w:r>
      <w:r>
        <w:rPr>
          <w:rFonts w:ascii="Arial" w:hAnsi="Arial"/>
          <w:color w:val="000000"/>
          <w:sz w:val="22"/>
          <w:szCs w:val="22"/>
          <w:u w:val="none" w:color="000000"/>
          <w:lang w:val="pt-BR"/>
        </w:rPr>
        <w:t xml:space="preserve"> e </w:t>
      </w:r>
      <w:r>
        <w:rPr>
          <w:rFonts w:ascii="Arial" w:hAnsi="Arial"/>
          <w:i/>
          <w:iCs/>
          <w:color w:val="000000"/>
          <w:sz w:val="22"/>
          <w:szCs w:val="22"/>
          <w:u w:val="none" w:color="000000"/>
          <w:lang w:val="pt-BR"/>
        </w:rPr>
        <w:t>Brachiaria</w:t>
      </w:r>
      <w:r>
        <w:rPr>
          <w:rFonts w:ascii="Arial" w:hAnsi="Arial"/>
          <w:color w:val="000000"/>
          <w:sz w:val="22"/>
          <w:szCs w:val="22"/>
          <w:u w:val="none" w:color="000000"/>
          <w:lang w:val="pt-BR"/>
        </w:rPr>
        <w:t xml:space="preserve"> apresentam limitações para regiões de clima Cfa quando o objetivo é o retorno rápido dos perfilhos após o período de inverno. O uso de informações generalistas quanto a “tolerância ao frio” de algumas espécies pode incorrer no estabelecimento de plantas em regiões onde a ocorrência de geadas pode comprometer sua perenidade.</w:t>
      </w:r>
    </w:p>
    <w:p>
      <w:pPr>
        <w:pStyle w:val="LOnormal"/>
        <w:jc w:val="both"/>
        <w:rPr>
          <w:rFonts w:ascii="Arial" w:hAnsi="Arial" w:eastAsia="Arial" w:cs="Arial"/>
          <w:b/>
          <w:b/>
          <w:bCs/>
          <w:color w:val="000000"/>
          <w:sz w:val="22"/>
          <w:szCs w:val="22"/>
          <w:u w:val="none" w:color="000000"/>
          <w:lang w:val="pt-BR"/>
        </w:rPr>
      </w:pPr>
      <w:r>
        <w:rPr>
          <w:rFonts w:eastAsia="Arial" w:cs="Arial" w:ascii="Arial" w:hAnsi="Arial"/>
          <w:b/>
          <w:bCs/>
          <w:color w:val="000000"/>
          <w:sz w:val="22"/>
          <w:szCs w:val="22"/>
          <w:u w:val="none" w:color="000000"/>
          <w:lang w:val="pt-BR"/>
        </w:rPr>
      </w:r>
    </w:p>
    <w:p>
      <w:pPr>
        <w:pStyle w:val="LOnormal"/>
        <w:jc w:val="both"/>
        <w:rPr>
          <w:color w:val="000000"/>
          <w:u w:val="none" w:color="000000"/>
          <w:lang w:val="pt-BR"/>
        </w:rPr>
      </w:pPr>
      <w:r>
        <w:rPr>
          <w:rFonts w:ascii="Arial" w:hAnsi="Arial"/>
          <w:b/>
          <w:bCs/>
          <w:color w:val="000000"/>
          <w:sz w:val="22"/>
          <w:szCs w:val="22"/>
          <w:u w:val="none" w:color="000000"/>
          <w:lang w:val="pt-BR"/>
        </w:rPr>
        <w:t xml:space="preserve">Agradecimento: </w:t>
      </w:r>
      <w:r>
        <w:rPr>
          <w:rFonts w:ascii="Arial" w:hAnsi="Arial"/>
          <w:color w:val="000000"/>
          <w:sz w:val="22"/>
          <w:szCs w:val="22"/>
          <w:u w:val="none" w:color="000000"/>
          <w:lang w:val="pt-BR"/>
        </w:rPr>
        <w:t>Universidade do Oeste de Santa Catarina (UNOESC-Xanxerê).</w:t>
      </w:r>
    </w:p>
    <w:p>
      <w:pPr>
        <w:pStyle w:val="LOnormal"/>
        <w:jc w:val="both"/>
        <w:rPr>
          <w:rFonts w:ascii="Arial" w:hAnsi="Arial" w:eastAsia="Arial" w:cs="Arial"/>
          <w:b/>
          <w:b/>
          <w:bCs/>
          <w:color w:val="000000"/>
          <w:sz w:val="22"/>
          <w:szCs w:val="22"/>
          <w:u w:val="none" w:color="000000"/>
          <w:lang w:val="pt-BR"/>
        </w:rPr>
      </w:pPr>
      <w:r>
        <w:rPr>
          <w:rFonts w:eastAsia="Arial" w:cs="Arial" w:ascii="Arial" w:hAnsi="Arial"/>
          <w:b/>
          <w:bCs/>
          <w:color w:val="000000"/>
          <w:sz w:val="22"/>
          <w:szCs w:val="22"/>
          <w:u w:val="none" w:color="000000"/>
          <w:lang w:val="pt-BR"/>
        </w:rPr>
      </w:r>
    </w:p>
    <w:p>
      <w:pPr>
        <w:pStyle w:val="LOnormal"/>
        <w:jc w:val="both"/>
        <w:rPr>
          <w:lang w:val="pt-BR"/>
        </w:rPr>
      </w:pPr>
      <w:r>
        <w:rPr>
          <w:rFonts w:ascii="Arial" w:hAnsi="Arial"/>
          <w:b/>
          <w:bCs/>
          <w:color w:val="000000"/>
          <w:sz w:val="22"/>
          <w:szCs w:val="22"/>
          <w:u w:val="none" w:color="000000"/>
          <w:lang w:val="pt-BR"/>
        </w:rPr>
        <w:t>Referências:</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t xml:space="preserve">ARAÚJO, C.E.S. et al. Previsão de geada em Santa Catarina. </w:t>
      </w:r>
      <w:r>
        <w:rPr>
          <w:rFonts w:eastAsia="Arial" w:cs="Arial" w:ascii="Arial" w:hAnsi="Arial"/>
          <w:b/>
          <w:color w:val="000000"/>
          <w:sz w:val="22"/>
          <w:szCs w:val="22"/>
          <w:u w:val="none" w:color="000000"/>
          <w:lang w:val="pt-BR"/>
        </w:rPr>
        <w:t>Revista Agropecuária Catarinense</w:t>
      </w:r>
      <w:r>
        <w:rPr>
          <w:rFonts w:eastAsia="Arial" w:cs="Arial" w:ascii="Arial" w:hAnsi="Arial"/>
          <w:color w:val="000000"/>
          <w:sz w:val="22"/>
          <w:szCs w:val="22"/>
          <w:u w:val="none" w:color="000000"/>
          <w:lang w:val="pt-BR"/>
        </w:rPr>
        <w:t>, v.25, n.1, p. 87–90, 2012.</w:t>
      </w:r>
      <w:r>
        <w:rPr>
          <w:lang w:val="pt-BR"/>
        </w:rPr>
        <w:t xml:space="preserve"> </w:t>
      </w:r>
    </w:p>
    <w:p>
      <w:pPr>
        <w:pStyle w:val="LOnormal"/>
        <w:jc w:val="both"/>
        <w:rPr>
          <w:rFonts w:ascii="Arial" w:hAnsi="Arial" w:eastAsia="Arial" w:cs="Arial"/>
          <w:bCs/>
          <w:color w:val="000000"/>
          <w:sz w:val="22"/>
          <w:szCs w:val="22"/>
          <w:u w:val="none" w:color="000000"/>
          <w:lang w:val="pt-BR"/>
        </w:rPr>
      </w:pPr>
      <w:r>
        <w:rPr>
          <w:rFonts w:eastAsia="Arial" w:cs="Arial" w:ascii="Arial" w:hAnsi="Arial"/>
          <w:bCs/>
          <w:color w:val="000000"/>
          <w:sz w:val="22"/>
          <w:szCs w:val="22"/>
          <w:u w:val="none" w:color="000000"/>
          <w:lang w:val="pt-BR"/>
        </w:rPr>
      </w:r>
    </w:p>
    <w:p>
      <w:pPr>
        <w:pStyle w:val="LOnormal"/>
        <w:jc w:val="both"/>
        <w:rPr>
          <w:rFonts w:ascii="Arial" w:hAnsi="Arial" w:eastAsia="Arial" w:cs="Arial"/>
          <w:bCs/>
          <w:color w:val="000000"/>
          <w:sz w:val="22"/>
          <w:szCs w:val="22"/>
          <w:u w:val="none" w:color="000000"/>
          <w:lang w:val="pt-BR"/>
        </w:rPr>
      </w:pPr>
      <w:r>
        <w:rPr>
          <w:rFonts w:eastAsia="Arial" w:cs="Arial" w:ascii="Arial" w:hAnsi="Arial"/>
          <w:bCs/>
          <w:color w:val="000000"/>
          <w:sz w:val="22"/>
          <w:szCs w:val="22"/>
          <w:u w:val="none" w:color="000000"/>
          <w:lang w:val="pt-BR"/>
        </w:rPr>
        <w:t xml:space="preserve">BARRETA, D. A. et al. </w:t>
      </w:r>
      <w:r>
        <w:rPr>
          <w:rFonts w:eastAsia="Arial" w:cs="Arial" w:ascii="Arial" w:hAnsi="Arial"/>
          <w:bCs/>
          <w:color w:val="000000"/>
          <w:sz w:val="22"/>
          <w:szCs w:val="22"/>
          <w:u w:val="none" w:color="000000"/>
        </w:rPr>
        <w:t xml:space="preserve">Managing a mixed sward to maintain species and functional diversity. </w:t>
      </w:r>
      <w:r>
        <w:rPr>
          <w:rFonts w:eastAsia="Arial" w:cs="Arial" w:ascii="Arial" w:hAnsi="Arial"/>
          <w:b/>
          <w:color w:val="000000"/>
          <w:sz w:val="22"/>
          <w:szCs w:val="22"/>
          <w:u w:val="none" w:color="000000"/>
          <w:lang w:val="pt-BR"/>
        </w:rPr>
        <w:t>European Journal of Agronomy</w:t>
      </w:r>
      <w:r>
        <w:rPr>
          <w:rFonts w:eastAsia="Arial" w:cs="Arial" w:ascii="Arial" w:hAnsi="Arial"/>
          <w:bCs/>
          <w:color w:val="000000"/>
          <w:sz w:val="22"/>
          <w:szCs w:val="22"/>
          <w:u w:val="none" w:color="000000"/>
          <w:lang w:val="pt-BR"/>
        </w:rPr>
        <w:t>, v. 149:126883, 2023.</w:t>
      </w:r>
    </w:p>
    <w:p>
      <w:pPr>
        <w:pStyle w:val="LOnormal"/>
        <w:jc w:val="both"/>
        <w:rPr>
          <w:rFonts w:ascii="Arial" w:hAnsi="Arial" w:eastAsia="Arial" w:cs="Arial"/>
          <w:bCs/>
          <w:color w:val="000000"/>
          <w:sz w:val="22"/>
          <w:szCs w:val="22"/>
          <w:u w:val="none" w:color="000000"/>
          <w:lang w:val="pt-BR"/>
        </w:rPr>
      </w:pPr>
      <w:r>
        <w:rPr>
          <w:rFonts w:eastAsia="Arial" w:cs="Arial" w:ascii="Arial" w:hAnsi="Arial"/>
          <w:bCs/>
          <w:color w:val="000000"/>
          <w:sz w:val="22"/>
          <w:szCs w:val="22"/>
          <w:u w:val="none" w:color="000000"/>
          <w:lang w:val="pt-BR"/>
        </w:rPr>
      </w:r>
    </w:p>
    <w:p>
      <w:pPr>
        <w:pStyle w:val="LOnormal"/>
        <w:jc w:val="both"/>
        <w:rPr>
          <w:rFonts w:ascii="Arial" w:hAnsi="Arial" w:eastAsia="Arial" w:cs="Arial"/>
          <w:bCs/>
          <w:color w:val="000000"/>
          <w:sz w:val="22"/>
          <w:szCs w:val="22"/>
          <w:u w:val="none" w:color="000000"/>
          <w:lang w:val="pt-BR"/>
        </w:rPr>
      </w:pPr>
      <w:r>
        <w:rPr>
          <w:rFonts w:eastAsia="Arial" w:cs="Arial" w:ascii="Arial" w:hAnsi="Arial"/>
          <w:bCs/>
          <w:color w:val="000000"/>
          <w:sz w:val="22"/>
          <w:szCs w:val="22"/>
          <w:u w:val="none" w:color="000000"/>
          <w:lang w:val="pt-BR"/>
        </w:rPr>
        <w:t xml:space="preserve">FELISBINO, D. G. </w:t>
      </w:r>
      <w:r>
        <w:rPr>
          <w:rFonts w:eastAsia="Arial" w:cs="Arial" w:ascii="Arial" w:hAnsi="Arial"/>
          <w:b/>
          <w:color w:val="000000"/>
          <w:sz w:val="22"/>
          <w:szCs w:val="22"/>
          <w:u w:val="none" w:color="000000"/>
          <w:lang w:val="pt-BR"/>
        </w:rPr>
        <w:t>Produção e composição morfológica dos capins braúna, sabiá e cayana submetidos ao diferimento</w:t>
      </w:r>
      <w:r>
        <w:rPr>
          <w:rFonts w:eastAsia="Arial" w:cs="Arial" w:ascii="Arial" w:hAnsi="Arial"/>
          <w:bCs/>
          <w:color w:val="000000"/>
          <w:sz w:val="22"/>
          <w:szCs w:val="22"/>
          <w:u w:val="none" w:color="000000"/>
          <w:lang w:val="pt-BR"/>
        </w:rPr>
        <w:t xml:space="preserve">. 2022. 19 f. Trabalho de Conclusão de Curso (Graduação em Zootecnia) – Universidade Federal de Uberlândia, Uberlândia, 2022. </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bookmarkStart w:id="12" w:name="_Hlk134101349"/>
      <w:bookmarkStart w:id="13" w:name="_Hlk134101349"/>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t xml:space="preserve">JOCHIMS, F. et al. Espécies forrageiras mais utilizadas em pastagens na Região Oeste de Santa Catarina. </w:t>
      </w:r>
      <w:r>
        <w:rPr>
          <w:rFonts w:eastAsia="Arial" w:cs="Arial" w:ascii="Arial" w:hAnsi="Arial"/>
          <w:b/>
          <w:color w:val="000000"/>
          <w:sz w:val="22"/>
          <w:szCs w:val="22"/>
          <w:u w:val="none" w:color="000000"/>
          <w:lang w:val="pt-BR"/>
        </w:rPr>
        <w:t>Agropecuária Catarinense</w:t>
      </w:r>
      <w:r>
        <w:rPr>
          <w:rFonts w:eastAsia="Arial" w:cs="Arial" w:ascii="Arial" w:hAnsi="Arial"/>
          <w:color w:val="000000"/>
          <w:sz w:val="22"/>
          <w:szCs w:val="22"/>
          <w:u w:val="none" w:color="000000"/>
          <w:lang w:val="pt-BR"/>
        </w:rPr>
        <w:t xml:space="preserve">, v.30, n.3, p.15-18, 2017. </w:t>
      </w:r>
    </w:p>
    <w:p>
      <w:pPr>
        <w:pStyle w:val="LOnormal"/>
        <w:jc w:val="both"/>
        <w:rPr>
          <w:rFonts w:ascii="Arial" w:hAnsi="Arial" w:eastAsia="Arial" w:cs="Arial"/>
          <w:bCs/>
          <w:color w:val="000000"/>
          <w:sz w:val="22"/>
          <w:szCs w:val="22"/>
          <w:u w:val="none" w:color="000000"/>
          <w:lang w:val="pt-BR"/>
        </w:rPr>
      </w:pPr>
      <w:r>
        <w:rPr>
          <w:rFonts w:eastAsia="Arial" w:cs="Arial" w:ascii="Arial" w:hAnsi="Arial"/>
          <w:bCs/>
          <w:color w:val="000000"/>
          <w:sz w:val="22"/>
          <w:szCs w:val="22"/>
          <w:u w:val="none" w:color="000000"/>
          <w:lang w:val="pt-BR"/>
        </w:rPr>
      </w:r>
    </w:p>
    <w:p>
      <w:pPr>
        <w:pStyle w:val="LOnormal"/>
        <w:jc w:val="both"/>
        <w:rPr>
          <w:rFonts w:ascii="Arial" w:hAnsi="Arial" w:eastAsia="Arial" w:cs="Arial"/>
          <w:bCs/>
          <w:color w:val="000000"/>
          <w:sz w:val="22"/>
          <w:szCs w:val="22"/>
          <w:u w:val="none" w:color="000000"/>
          <w:lang w:val="pt-BR"/>
        </w:rPr>
      </w:pPr>
      <w:r>
        <w:rPr>
          <w:rFonts w:eastAsia="Arial" w:cs="Arial" w:ascii="Arial" w:hAnsi="Arial"/>
          <w:bCs/>
          <w:color w:val="000000"/>
          <w:sz w:val="22"/>
          <w:szCs w:val="22"/>
          <w:u w:val="none" w:color="000000"/>
          <w:lang w:val="pt-BR"/>
        </w:rPr>
        <w:t>KRAHL, G.; MAROCCO, D. H. Manejo para a recuperação de forrageiras perenes estivais a danos por geadas</w:t>
      </w:r>
      <w:r>
        <w:rPr>
          <w:rFonts w:eastAsia="Arial" w:cs="Arial" w:ascii="Arial" w:hAnsi="Arial"/>
          <w:b/>
          <w:color w:val="000000"/>
          <w:sz w:val="22"/>
          <w:szCs w:val="22"/>
          <w:u w:val="none" w:color="000000"/>
          <w:lang w:val="pt-BR"/>
        </w:rPr>
        <w:t>. Revista Brasileira de Agropecuária Sustentável</w:t>
      </w:r>
      <w:r>
        <w:rPr>
          <w:rFonts w:eastAsia="Arial" w:cs="Arial" w:ascii="Arial" w:hAnsi="Arial"/>
          <w:bCs/>
          <w:color w:val="000000"/>
          <w:sz w:val="22"/>
          <w:szCs w:val="22"/>
          <w:u w:val="none" w:color="000000"/>
          <w:lang w:val="pt-BR"/>
        </w:rPr>
        <w:t xml:space="preserve">, v.9, n.3, p.78-86, 2019. </w:t>
      </w:r>
      <w:bookmarkEnd w:id="13"/>
    </w:p>
    <w:p>
      <w:pPr>
        <w:pStyle w:val="LOnormal"/>
        <w:jc w:val="both"/>
        <w:rPr>
          <w:rFonts w:ascii="Arial" w:hAnsi="Arial" w:eastAsia="Arial" w:cs="Arial"/>
          <w:bCs/>
          <w:color w:val="000000"/>
          <w:sz w:val="22"/>
          <w:szCs w:val="22"/>
          <w:u w:val="none" w:color="000000"/>
          <w:lang w:val="pt-BR"/>
        </w:rPr>
      </w:pPr>
      <w:r>
        <w:rPr>
          <w:rFonts w:eastAsia="Arial" w:cs="Arial" w:ascii="Arial" w:hAnsi="Arial"/>
          <w:bCs/>
          <w:color w:val="000000"/>
          <w:sz w:val="22"/>
          <w:szCs w:val="22"/>
          <w:u w:val="none" w:color="000000"/>
          <w:lang w:val="pt-BR"/>
        </w:rPr>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t xml:space="preserve">PEDREIRA, C. G. S. et al. O processo de produção de forragem em pastagens. </w:t>
      </w:r>
      <w:r>
        <w:rPr>
          <w:rFonts w:eastAsia="Arial" w:cs="Arial" w:ascii="Arial" w:hAnsi="Arial"/>
          <w:b/>
          <w:color w:val="000000"/>
          <w:sz w:val="22"/>
          <w:szCs w:val="22"/>
          <w:u w:val="none" w:color="000000"/>
          <w:lang w:val="pt-BR"/>
        </w:rPr>
        <w:t>Reunião Anual da Sociedade Brasileira de Zootecnia</w:t>
      </w:r>
      <w:r>
        <w:rPr>
          <w:rFonts w:eastAsia="Arial" w:cs="Arial" w:ascii="Arial" w:hAnsi="Arial"/>
          <w:color w:val="000000"/>
          <w:sz w:val="22"/>
          <w:szCs w:val="22"/>
          <w:u w:val="none" w:color="000000"/>
          <w:lang w:val="pt-BR"/>
        </w:rPr>
        <w:t xml:space="preserve">, v. 38, p. 772-807, 2001. </w:t>
      </w:r>
    </w:p>
    <w:p>
      <w:pPr>
        <w:pStyle w:val="LOnormal"/>
        <w:jc w:val="both"/>
        <w:rPr>
          <w:rFonts w:ascii="Arial" w:hAnsi="Arial" w:eastAsia="Arial" w:cs="Arial"/>
          <w:bCs/>
          <w:color w:val="000000"/>
          <w:sz w:val="22"/>
          <w:szCs w:val="22"/>
          <w:u w:val="none" w:color="000000"/>
          <w:lang w:val="pt-BR"/>
        </w:rPr>
      </w:pPr>
      <w:r>
        <w:rPr>
          <w:rFonts w:eastAsia="Arial" w:cs="Arial" w:ascii="Arial" w:hAnsi="Arial"/>
          <w:bCs/>
          <w:color w:val="000000"/>
          <w:sz w:val="22"/>
          <w:szCs w:val="22"/>
          <w:u w:val="none" w:color="000000"/>
          <w:lang w:val="pt-BR"/>
        </w:rPr>
      </w:r>
    </w:p>
    <w:p>
      <w:pPr>
        <w:pStyle w:val="LOnormal"/>
        <w:jc w:val="both"/>
        <w:rPr>
          <w:rFonts w:ascii="Arial" w:hAnsi="Arial" w:eastAsia="Arial" w:cs="Arial"/>
          <w:bCs/>
          <w:color w:val="000000"/>
          <w:sz w:val="22"/>
          <w:szCs w:val="22"/>
          <w:u w:val="none" w:color="000000"/>
          <w:lang w:val="pt-BR"/>
        </w:rPr>
      </w:pPr>
      <w:r>
        <w:rPr>
          <w:rFonts w:eastAsia="Arial" w:cs="Arial" w:ascii="Arial" w:hAnsi="Arial"/>
          <w:bCs/>
          <w:color w:val="000000"/>
          <w:sz w:val="22"/>
          <w:szCs w:val="22"/>
          <w:u w:val="none" w:color="000000"/>
          <w:lang w:val="pt-BR"/>
        </w:rPr>
        <w:t xml:space="preserve">RODRIGUES, B. N. </w:t>
      </w:r>
      <w:r>
        <w:rPr>
          <w:rFonts w:eastAsia="Arial" w:cs="Arial" w:ascii="Arial" w:hAnsi="Arial"/>
          <w:b/>
          <w:color w:val="000000"/>
          <w:sz w:val="22"/>
          <w:szCs w:val="22"/>
          <w:u w:val="none" w:color="000000"/>
          <w:lang w:val="pt-BR"/>
        </w:rPr>
        <w:t xml:space="preserve">Avaliação física e química-bromatológica do capim-marandu e híbridos de Urochloa diferidos. </w:t>
      </w:r>
      <w:r>
        <w:rPr>
          <w:rFonts w:eastAsia="Arial" w:cs="Arial" w:ascii="Arial" w:hAnsi="Arial"/>
          <w:bCs/>
          <w:color w:val="000000"/>
          <w:sz w:val="22"/>
          <w:szCs w:val="22"/>
          <w:u w:val="none" w:color="000000"/>
          <w:lang w:val="pt-BR"/>
        </w:rPr>
        <w:t xml:space="preserve">2022. 28 f. Trabalho de Conclusão de Curso (Graduação em Zootecnia) – Universidade Federal de Uberlândia, Uberlândia, 2022. </w:t>
      </w:r>
    </w:p>
    <w:p>
      <w:pPr>
        <w:pStyle w:val="LOnormal"/>
        <w:jc w:val="both"/>
        <w:rPr>
          <w:rFonts w:ascii="Arial" w:hAnsi="Arial" w:eastAsia="Arial" w:cs="Arial"/>
          <w:bCs/>
          <w:color w:val="000000"/>
          <w:sz w:val="22"/>
          <w:szCs w:val="22"/>
          <w:u w:val="none" w:color="000000"/>
          <w:lang w:val="pt-BR"/>
        </w:rPr>
      </w:pPr>
      <w:r>
        <w:rPr>
          <w:rFonts w:eastAsia="Arial" w:cs="Arial" w:ascii="Arial" w:hAnsi="Arial"/>
          <w:bCs/>
          <w:color w:val="000000"/>
          <w:sz w:val="22"/>
          <w:szCs w:val="22"/>
          <w:u w:val="none" w:color="000000"/>
          <w:lang w:val="pt-BR"/>
        </w:rPr>
      </w:r>
    </w:p>
    <w:p>
      <w:pPr>
        <w:pStyle w:val="LOnormal"/>
        <w:jc w:val="both"/>
        <w:rPr>
          <w:rFonts w:ascii="Arial" w:hAnsi="Arial" w:eastAsia="Arial" w:cs="Arial"/>
          <w:bCs/>
          <w:color w:val="000000"/>
          <w:sz w:val="22"/>
          <w:szCs w:val="22"/>
          <w:u w:val="none" w:color="000000"/>
          <w:lang w:val="pt-BR"/>
        </w:rPr>
      </w:pPr>
      <w:r>
        <w:rPr>
          <w:rFonts w:eastAsia="Arial" w:cs="Arial" w:ascii="Arial" w:hAnsi="Arial"/>
          <w:bCs/>
          <w:color w:val="000000"/>
          <w:sz w:val="22"/>
          <w:szCs w:val="22"/>
          <w:u w:val="none" w:color="000000"/>
          <w:lang w:val="pt-BR"/>
        </w:rPr>
        <w:t>SBRISSIA, A. F., et al. Produção animal em pastagens cultivadas em regiões de clima temperado da América Latina. </w:t>
      </w:r>
      <w:r>
        <w:rPr>
          <w:rFonts w:eastAsia="Arial" w:cs="Arial" w:ascii="Arial" w:hAnsi="Arial"/>
          <w:b/>
          <w:bCs/>
          <w:color w:val="000000"/>
          <w:sz w:val="22"/>
          <w:szCs w:val="22"/>
          <w:u w:val="none" w:color="000000"/>
          <w:lang w:val="pt-BR"/>
        </w:rPr>
        <w:t>Archivos Latinoamericanos de Producción Animal</w:t>
      </w:r>
      <w:r>
        <w:rPr>
          <w:rFonts w:eastAsia="Arial" w:cs="Arial" w:ascii="Arial" w:hAnsi="Arial"/>
          <w:bCs/>
          <w:color w:val="000000"/>
          <w:sz w:val="22"/>
          <w:szCs w:val="22"/>
          <w:u w:val="none" w:color="000000"/>
          <w:lang w:val="pt-BR"/>
        </w:rPr>
        <w:t xml:space="preserve">, v. 25, n. 1-2, p. 47-60, 2017. </w:t>
      </w:r>
    </w:p>
    <w:sectPr>
      <w:headerReference w:type="default" r:id="rId4"/>
      <w:type w:val="nextPage"/>
      <w:pgSz w:w="11906" w:h="16838"/>
      <w:pgMar w:left="1418" w:right="1418" w:gutter="0" w:header="0" w:top="1418" w:footer="0" w:bottom="1418"/>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Cambria">
    <w:charset w:val="00"/>
    <w:family w:val="roman"/>
    <w:pitch w:val="variable"/>
  </w:font>
  <w:font w:name="Helvetica Neue">
    <w:charset w:val="00"/>
    <w:family w:val="roman"/>
    <w:pitch w:val="variable"/>
  </w:font>
  <w:font w:name="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
      <w:ind w:left="-1418" w:hanging="0"/>
      <w:rPr/>
    </w:pPr>
    <w:r>
      <w:rPr/>
      <w:drawing>
        <wp:inline distT="0" distB="0" distL="0" distR="0">
          <wp:extent cx="7559675" cy="1115695"/>
          <wp:effectExtent l="0" t="0" r="0" b="0"/>
          <wp:docPr id="2" name="Imagem 19738933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973893338" descr=""/>
                  <pic:cNvPicPr>
                    <a:picLocks noChangeAspect="1" noChangeArrowheads="1"/>
                  </pic:cNvPicPr>
                </pic:nvPicPr>
                <pic:blipFill>
                  <a:blip r:embed="rId1"/>
                  <a:stretch>
                    <a:fillRect/>
                  </a:stretch>
                </pic:blipFill>
                <pic:spPr bwMode="auto">
                  <a:xfrm>
                    <a:off x="0" y="0"/>
                    <a:ext cx="7559675" cy="1115695"/>
                  </a:xfrm>
                  <a:prstGeom prst="rect">
                    <a:avLst/>
                  </a:prstGeom>
                </pic:spPr>
              </pic:pic>
            </a:graphicData>
          </a:graphic>
        </wp:inline>
      </w:drawing>
    </w:r>
  </w:p>
</w:hdr>
</file>

<file path=word/settings.xml><?xml version="1.0" encoding="utf-8"?>
<w:settings xmlns:w="http://schemas.openxmlformats.org/wordprocessingml/2006/main">
  <w:zoom w:percent="136"/>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pBdr/>
      <w:suppressAutoHyphens w:val="false"/>
      <w:bidi w:val="0"/>
      <w:spacing w:before="0" w:after="0"/>
      <w:jc w:val="left"/>
    </w:pPr>
    <w:rPr>
      <w:rFonts w:ascii="Times New Roman" w:hAnsi="Times New Roman" w:eastAsia="Arial Unicode MS" w:cs="Times New Roman"/>
      <w:color w:val="auto"/>
      <w:kern w:val="0"/>
      <w:sz w:val="24"/>
      <w:szCs w:val="24"/>
      <w:lang w:val="en-US" w:eastAsia="en-US" w:bidi="ar-SA"/>
    </w:rPr>
  </w:style>
  <w:style w:type="character" w:styleId="DefaultParagraphFont" w:default="1">
    <w:name w:val="Default Paragraph Font"/>
    <w:uiPriority w:val="1"/>
    <w:semiHidden/>
    <w:unhideWhenUsed/>
    <w:qFormat/>
    <w:rPr/>
  </w:style>
  <w:style w:type="character" w:styleId="LinkdaInternet">
    <w:name w:val="Link da Internet"/>
    <w:rPr>
      <w:u w:val="single"/>
    </w:rPr>
  </w:style>
  <w:style w:type="character" w:styleId="CabealhoChar" w:customStyle="1">
    <w:name w:val="Cabeçalho Char"/>
    <w:basedOn w:val="DefaultParagraphFont"/>
    <w:uiPriority w:val="99"/>
    <w:qFormat/>
    <w:rsid w:val="00bb73c5"/>
    <w:rPr>
      <w:sz w:val="24"/>
      <w:szCs w:val="24"/>
      <w:lang w:val="en-US" w:eastAsia="en-US"/>
    </w:rPr>
  </w:style>
  <w:style w:type="character" w:styleId="RodapChar" w:customStyle="1">
    <w:name w:val="Rodapé Char"/>
    <w:basedOn w:val="DefaultParagraphFont"/>
    <w:uiPriority w:val="99"/>
    <w:qFormat/>
    <w:rsid w:val="00bb73c5"/>
    <w:rPr>
      <w:sz w:val="24"/>
      <w:szCs w:val="24"/>
      <w:lang w:val="en-US" w:eastAsia="en-US"/>
    </w:rPr>
  </w:style>
  <w:style w:type="character" w:styleId="Annotationreference">
    <w:name w:val="annotation reference"/>
    <w:basedOn w:val="DefaultParagraphFont"/>
    <w:uiPriority w:val="99"/>
    <w:semiHidden/>
    <w:unhideWhenUsed/>
    <w:qFormat/>
    <w:rsid w:val="00034e5b"/>
    <w:rPr>
      <w:sz w:val="16"/>
      <w:szCs w:val="16"/>
    </w:rPr>
  </w:style>
  <w:style w:type="character" w:styleId="TextodecomentrioChar" w:customStyle="1">
    <w:name w:val="Texto de comentário Char"/>
    <w:basedOn w:val="DefaultParagraphFont"/>
    <w:link w:val="Annotationtext"/>
    <w:uiPriority w:val="99"/>
    <w:semiHidden/>
    <w:qFormat/>
    <w:rsid w:val="00034e5b"/>
    <w:rPr>
      <w:lang w:val="en-US" w:eastAsia="en-US"/>
    </w:rPr>
  </w:style>
  <w:style w:type="character" w:styleId="AssuntodocomentrioChar" w:customStyle="1">
    <w:name w:val="Assunto do comentário Char"/>
    <w:basedOn w:val="TextodecomentrioChar"/>
    <w:link w:val="Annotationsubject"/>
    <w:uiPriority w:val="99"/>
    <w:semiHidden/>
    <w:qFormat/>
    <w:rsid w:val="00034e5b"/>
    <w:rPr>
      <w:b/>
      <w:bCs/>
      <w:lang w:val="en-US" w:eastAsia="en-US"/>
    </w:rPr>
  </w:style>
  <w:style w:type="character" w:styleId="UnresolvedMention">
    <w:name w:val="Unresolved Mention"/>
    <w:basedOn w:val="DefaultParagraphFont"/>
    <w:uiPriority w:val="99"/>
    <w:semiHidden/>
    <w:unhideWhenUsed/>
    <w:qFormat/>
    <w:rsid w:val="008b7167"/>
    <w:rPr>
      <w:color w:val="605E5C"/>
      <w:shd w:fill="E1DFDD" w:val="clear"/>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lang w:val="zxx" w:eastAsia="zxx" w:bidi="zxx"/>
    </w:rPr>
  </w:style>
  <w:style w:type="paragraph" w:styleId="LOnormal" w:customStyle="1">
    <w:name w:val="LO-normal"/>
    <w:qFormat/>
    <w:pPr>
      <w:widowControl/>
      <w:pBdr/>
      <w:suppressAutoHyphens w:val="true"/>
      <w:bidi w:val="0"/>
      <w:spacing w:before="0" w:after="0"/>
      <w:jc w:val="left"/>
    </w:pPr>
    <w:rPr>
      <w:rFonts w:ascii="Cambria" w:hAnsi="Cambria" w:cs="Arial Unicode MS" w:eastAsia="Arial Unicode MS"/>
      <w:color w:val="00000A"/>
      <w:kern w:val="0"/>
      <w:sz w:val="24"/>
      <w:szCs w:val="24"/>
      <w:u w:val="none" w:color="00000A"/>
      <w:lang w:val="en-US" w:eastAsia="pt-BR" w:bidi="ar-SA"/>
    </w:rPr>
  </w:style>
  <w:style w:type="paragraph" w:styleId="CabealhoeRodap" w:customStyle="1">
    <w:name w:val="Cabeçalho e Rodapé"/>
    <w:qFormat/>
    <w:pPr>
      <w:widowControl/>
      <w:pBdr/>
      <w:tabs>
        <w:tab w:val="clear" w:pos="720"/>
        <w:tab w:val="right" w:pos="9020" w:leader="none"/>
      </w:tabs>
      <w:bidi w:val="0"/>
      <w:spacing w:before="0" w:after="0"/>
      <w:jc w:val="left"/>
    </w:pPr>
    <w:rPr>
      <w:rFonts w:ascii="Helvetica Neue" w:hAnsi="Helvetica Neue" w:cs="Arial Unicode MS" w:eastAsia="Arial Unicode MS"/>
      <w:color w:val="000000"/>
      <w:kern w:val="0"/>
      <w:sz w:val="24"/>
      <w:szCs w:val="24"/>
      <w:lang w:val="pt-BR" w:eastAsia="pt-BR" w:bidi="ar-SA"/>
      <w14:textOutline w14:w="0" w14:cap="flat" w14:cmpd="sng" w14:algn="ctr">
        <w14:noFill/>
        <w14:prstDash w14:val="solid"/>
        <w14:bevel/>
      </w14:textOutline>
    </w:rPr>
  </w:style>
  <w:style w:type="paragraph" w:styleId="Cabealho">
    <w:name w:val="Header"/>
    <w:basedOn w:val="Normal"/>
    <w:link w:val="CabealhoChar"/>
    <w:uiPriority w:val="99"/>
    <w:unhideWhenUsed/>
    <w:rsid w:val="00bb73c5"/>
    <w:pPr>
      <w:tabs>
        <w:tab w:val="clear" w:pos="720"/>
        <w:tab w:val="center" w:pos="4252" w:leader="none"/>
        <w:tab w:val="right" w:pos="8504" w:leader="none"/>
      </w:tabs>
    </w:pPr>
    <w:rPr/>
  </w:style>
  <w:style w:type="paragraph" w:styleId="Rodap">
    <w:name w:val="Footer"/>
    <w:basedOn w:val="Normal"/>
    <w:link w:val="RodapChar"/>
    <w:uiPriority w:val="99"/>
    <w:unhideWhenUsed/>
    <w:rsid w:val="00bb73c5"/>
    <w:pPr>
      <w:tabs>
        <w:tab w:val="clear" w:pos="720"/>
        <w:tab w:val="center" w:pos="4252" w:leader="none"/>
        <w:tab w:val="right" w:pos="8504" w:leader="none"/>
      </w:tabs>
    </w:pPr>
    <w:rPr/>
  </w:style>
  <w:style w:type="paragraph" w:styleId="Revision">
    <w:name w:val="Revision"/>
    <w:uiPriority w:val="99"/>
    <w:semiHidden/>
    <w:qFormat/>
    <w:rsid w:val="00804da7"/>
    <w:pPr>
      <w:widowControl/>
      <w:pBdr/>
      <w:bidi w:val="0"/>
      <w:spacing w:before="0" w:after="0"/>
      <w:jc w:val="left"/>
    </w:pPr>
    <w:rPr>
      <w:rFonts w:ascii="Times New Roman" w:hAnsi="Times New Roman" w:eastAsia="Arial Unicode MS" w:cs="Times New Roman"/>
      <w:color w:val="auto"/>
      <w:kern w:val="0"/>
      <w:sz w:val="24"/>
      <w:szCs w:val="24"/>
      <w:lang w:val="en-US" w:eastAsia="en-US" w:bidi="ar-SA"/>
    </w:rPr>
  </w:style>
  <w:style w:type="paragraph" w:styleId="Annotationtext">
    <w:name w:val="annotation text"/>
    <w:basedOn w:val="Normal"/>
    <w:link w:val="TextodecomentrioChar"/>
    <w:uiPriority w:val="99"/>
    <w:semiHidden/>
    <w:unhideWhenUsed/>
    <w:qFormat/>
    <w:rsid w:val="00034e5b"/>
    <w:pPr/>
    <w:rPr>
      <w:sz w:val="20"/>
      <w:szCs w:val="20"/>
    </w:rPr>
  </w:style>
  <w:style w:type="paragraph" w:styleId="Annotationsubject">
    <w:name w:val="annotation subject"/>
    <w:basedOn w:val="Annotationtext"/>
    <w:next w:val="Annotationtext"/>
    <w:link w:val="AssuntodocomentrioChar"/>
    <w:uiPriority w:val="99"/>
    <w:semiHidden/>
    <w:unhideWhenUsed/>
    <w:qFormat/>
    <w:rsid w:val="00034e5b"/>
    <w:pPr/>
    <w:rPr>
      <w:b/>
      <w:bCs/>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 w:type="table" w:styleId="Tabelacomgrade">
    <w:name w:val="Table Grid"/>
    <w:basedOn w:val="Tabelanormal"/>
    <w:uiPriority w:val="39"/>
    <w:rsid w:val="00034e5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da.barreta@unoesc.edu.br" TargetMode="External"/><Relationship Id="rId3" Type="http://schemas.openxmlformats.org/officeDocument/2006/relationships/image" Target="media/image1.png"/><Relationship Id="rId4" Type="http://schemas.openxmlformats.org/officeDocument/2006/relationships/header" Target="header1.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TotalTime>
  <Application>LibreOffice/7.3.2.2$Windows_X86_64 LibreOffice_project/49f2b1bff42cfccbd8f788c8dc32c1c309559be0</Application>
  <AppVersion>15.0000</AppVersion>
  <Pages>4</Pages>
  <Words>1546</Words>
  <Characters>8134</Characters>
  <CharactersWithSpaces>9605</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2023-09-20T11:13:00Z</dcterms:created>
  <dc:creator/>
  <dc:description/>
  <dc:language>pt-BR</dc:language>
  <cp:lastModifiedBy>Daniel Augusto Barreta</cp:lastModifiedBy>
  <dcterms:modified xsi:type="dcterms:W3CDTF">2023-09-22T12:15:00Z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