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jc w:val="center"/>
        <w:rPr>
          <w:rFonts w:ascii="Arial" w:hAnsi="Arial"/>
          <w:b/>
          <w:b/>
          <w:bCs/>
          <w:color w:val="000000"/>
          <w:sz w:val="28"/>
          <w:szCs w:val="28"/>
          <w:u w:val="none" w:color="000000"/>
          <w:lang w:val="pt-BR"/>
        </w:rPr>
      </w:pPr>
      <w:r>
        <w:rPr>
          <w:rFonts w:ascii="Arial" w:hAnsi="Arial"/>
          <w:b/>
          <w:bCs/>
          <w:color w:val="000000"/>
          <w:sz w:val="28"/>
          <w:szCs w:val="28"/>
          <w:u w:val="none" w:color="000000"/>
          <w:lang w:val="pt-BR"/>
        </w:rPr>
        <w:t>PRODUÇÃO DE FORRAGEM DE TRIGO PARA PASTAGEM COM DIFERENTES MANEJOS DE ALTURA</w:t>
      </w:r>
    </w:p>
    <w:p>
      <w:pPr>
        <w:pStyle w:val="LOnormal"/>
        <w:jc w:val="center"/>
        <w:rPr>
          <w:rFonts w:ascii="Arial" w:hAnsi="Arial"/>
          <w:b/>
          <w:b/>
          <w:bCs/>
          <w:color w:val="000000"/>
          <w:sz w:val="28"/>
          <w:szCs w:val="28"/>
          <w:u w:val="none" w:color="000000"/>
          <w:lang w:val="pt-BR"/>
        </w:rPr>
      </w:pPr>
      <w:r>
        <w:rPr>
          <w:rFonts w:ascii="Arial" w:hAnsi="Arial"/>
          <w:b/>
          <w:bCs/>
          <w:color w:val="000000"/>
          <w:sz w:val="28"/>
          <w:szCs w:val="28"/>
          <w:u w:val="none" w:color="000000"/>
          <w:lang w:val="pt-BR"/>
        </w:rPr>
      </w:r>
    </w:p>
    <w:p>
      <w:pPr>
        <w:pStyle w:val="LOnormal"/>
        <w:ind w:right="284" w:hanging="0"/>
        <w:jc w:val="center"/>
        <w:rPr>
          <w:rFonts w:ascii="Arial" w:hAnsi="Arial" w:eastAsia="Arial" w:cs="Arial"/>
          <w:color w:val="000000"/>
          <w:sz w:val="20"/>
          <w:szCs w:val="20"/>
          <w:lang w:val="pt-BR"/>
        </w:rPr>
      </w:pPr>
      <w:r>
        <w:rPr>
          <w:rFonts w:ascii="Arial" w:hAnsi="Arial"/>
          <w:color w:val="000000"/>
          <w:sz w:val="20"/>
          <w:szCs w:val="20"/>
          <w:u w:val="single"/>
          <w:lang w:val="pt-BR"/>
        </w:rPr>
        <w:t>Cleverson Anderson</w:t>
      </w:r>
      <w:r>
        <w:rPr>
          <w:rFonts w:ascii="Arial" w:hAnsi="Arial"/>
          <w:color w:val="000000"/>
          <w:sz w:val="20"/>
          <w:szCs w:val="20"/>
          <w:u w:val="single"/>
          <w:vertAlign w:val="superscript"/>
          <w:lang w:val="pt-BR"/>
        </w:rPr>
        <w:t>1</w:t>
      </w:r>
      <w:r>
        <w:rPr>
          <w:rFonts w:ascii="Arial" w:hAnsi="Arial"/>
          <w:color w:val="000000"/>
          <w:sz w:val="20"/>
          <w:szCs w:val="20"/>
          <w:lang w:val="pt-BR"/>
        </w:rPr>
        <w:t>,</w:t>
      </w:r>
      <w:r>
        <w:rPr>
          <w:rFonts w:eastAsia="Arial" w:cs="Arial" w:ascii="Arial" w:hAnsi="Arial"/>
          <w:color w:val="000000"/>
          <w:sz w:val="20"/>
          <w:szCs w:val="20"/>
        </w:rPr>
        <w:t xml:space="preserve"> </w:t>
      </w:r>
      <w:r>
        <w:rPr>
          <w:rFonts w:eastAsia="Arial" w:cs="Arial" w:ascii="Arial" w:hAnsi="Arial"/>
          <w:sz w:val="20"/>
          <w:szCs w:val="20"/>
        </w:rPr>
        <w:t>André Gustavo Mattos Ferreira¹, Gabriele Pelegrini Siqueira¹, Kettlein Rodrigues Pedroso¹, Bruna Vieira</w:t>
      </w:r>
      <w:r>
        <w:rPr>
          <w:rFonts w:eastAsia="Arial" w:cs="Arial" w:ascii="Arial" w:hAnsi="Arial"/>
          <w:color w:val="000000"/>
          <w:sz w:val="20"/>
          <w:szCs w:val="20"/>
          <w:vertAlign w:val="superscript"/>
        </w:rPr>
        <w:t>1</w:t>
      </w:r>
      <w:r>
        <w:rPr>
          <w:rFonts w:eastAsia="Arial" w:cs="Times New Roman" w:ascii="Times New Roman" w:hAnsi="Times New Roman"/>
          <w:color w:val="000000"/>
          <w:lang w:val="pt-BR"/>
        </w:rPr>
        <w:t xml:space="preserve">, </w:t>
      </w:r>
      <w:r>
        <w:rPr>
          <w:rFonts w:eastAsia="Arial" w:cs="Arial" w:ascii="Arial" w:hAnsi="Arial"/>
          <w:color w:val="000000"/>
          <w:sz w:val="20"/>
          <w:szCs w:val="20"/>
          <w:lang w:val="pt-BR"/>
        </w:rPr>
        <w:t>Gabrielle Vieira Seeber</w:t>
      </w:r>
      <w:r>
        <w:rPr>
          <w:rFonts w:eastAsia="Arial" w:cs="Arial" w:ascii="Arial" w:hAnsi="Arial"/>
          <w:sz w:val="20"/>
          <w:szCs w:val="20"/>
        </w:rPr>
        <w:t xml:space="preserve">¹, </w:t>
      </w:r>
      <w:r>
        <w:rPr>
          <w:rFonts w:cs="Arial" w:ascii="Arial" w:hAnsi="Arial"/>
          <w:color w:val="222222"/>
          <w:sz w:val="20"/>
          <w:szCs w:val="20"/>
          <w:shd w:fill="FFFFFF" w:val="clear"/>
          <w:lang w:val="pt-BR"/>
        </w:rPr>
        <w:t>Alexandre Guilherme Lenzi de Oliveira</w:t>
      </w:r>
      <w:r>
        <w:rPr>
          <w:rFonts w:ascii="Arial" w:hAnsi="Arial"/>
          <w:color w:val="000000"/>
          <w:sz w:val="20"/>
          <w:szCs w:val="20"/>
          <w:vertAlign w:val="superscript"/>
          <w:lang w:val="pt-BR"/>
        </w:rPr>
        <w:t>2</w:t>
      </w:r>
      <w:r>
        <w:rPr>
          <w:rFonts w:eastAsia="Arial" w:cs="Arial" w:ascii="Arial" w:hAnsi="Arial"/>
          <w:color w:val="000000"/>
          <w:sz w:val="20"/>
          <w:szCs w:val="20"/>
          <w:lang w:val="pt-BR"/>
        </w:rPr>
        <w:t xml:space="preserve">, </w:t>
      </w:r>
      <w:r>
        <w:rPr>
          <w:rFonts w:ascii="Arial" w:hAnsi="Arial"/>
          <w:color w:val="000000"/>
          <w:sz w:val="20"/>
          <w:szCs w:val="20"/>
          <w:lang w:val="pt-BR"/>
        </w:rPr>
        <w:t>Kelen Cristina Basso</w:t>
      </w:r>
      <w:r>
        <w:rPr>
          <w:rFonts w:ascii="Arial" w:hAnsi="Arial"/>
          <w:color w:val="000000"/>
          <w:sz w:val="20"/>
          <w:szCs w:val="20"/>
          <w:vertAlign w:val="superscript"/>
          <w:lang w:val="pt-BR"/>
        </w:rPr>
        <w:t>3</w:t>
      </w:r>
    </w:p>
    <w:p>
      <w:pPr>
        <w:pStyle w:val="LOnormal"/>
        <w:ind w:right="284" w:hanging="0"/>
        <w:jc w:val="center"/>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ind w:right="284" w:hanging="0"/>
        <w:jc w:val="center"/>
        <w:rPr>
          <w:rFonts w:ascii="Arial" w:hAnsi="Arial" w:eastAsia="Arial" w:cs="Arial"/>
          <w:color w:val="000000"/>
          <w:sz w:val="20"/>
          <w:szCs w:val="20"/>
          <w:lang w:val="pt-BR"/>
        </w:rPr>
      </w:pPr>
      <w:r>
        <w:rPr>
          <w:rFonts w:ascii="Arial" w:hAnsi="Arial"/>
          <w:color w:val="000000"/>
          <w:sz w:val="20"/>
          <w:szCs w:val="20"/>
          <w:vertAlign w:val="superscript"/>
          <w:lang w:val="pt-BR"/>
        </w:rPr>
        <w:t>1</w:t>
      </w:r>
      <w:r>
        <w:rPr>
          <w:rFonts w:ascii="Arial" w:hAnsi="Arial"/>
          <w:color w:val="000000"/>
          <w:sz w:val="20"/>
          <w:szCs w:val="20"/>
          <w:lang w:val="pt-BR"/>
        </w:rPr>
        <w:t xml:space="preserve"> Acadêmicos de Agronomia da Universidade Federal de Santa Catarina - UFSC, </w:t>
      </w:r>
      <w:r>
        <w:rPr>
          <w:rFonts w:ascii="Arial" w:hAnsi="Arial"/>
          <w:iCs/>
          <w:color w:val="000000"/>
          <w:sz w:val="20"/>
          <w:szCs w:val="20"/>
          <w:lang w:val="pt-BR"/>
        </w:rPr>
        <w:t>Campus</w:t>
      </w:r>
      <w:r>
        <w:rPr>
          <w:rFonts w:ascii="Arial" w:hAnsi="Arial"/>
          <w:color w:val="000000"/>
          <w:sz w:val="20"/>
          <w:szCs w:val="20"/>
          <w:lang w:val="pt-BR"/>
        </w:rPr>
        <w:t xml:space="preserve"> Curitibanos, </w:t>
      </w:r>
      <w:r>
        <w:rPr>
          <w:rFonts w:ascii="Arial" w:hAnsi="Arial"/>
          <w:color w:val="000000"/>
          <w:sz w:val="20"/>
          <w:szCs w:val="20"/>
          <w:vertAlign w:val="superscript"/>
          <w:lang w:val="pt-BR"/>
        </w:rPr>
        <w:t>2</w:t>
      </w:r>
      <w:r>
        <w:rPr>
          <w:rFonts w:ascii="Arial" w:hAnsi="Arial"/>
          <w:color w:val="000000"/>
          <w:sz w:val="20"/>
          <w:szCs w:val="20"/>
          <w:lang w:val="pt-BR"/>
        </w:rPr>
        <w:t xml:space="preserve">Professor, UFSC, Campus Florianópolis, ³Professora, UFSC, Campus Curitibanos. E-mail: </w:t>
      </w:r>
      <w:hyperlink r:id="rId2">
        <w:r>
          <w:rPr>
            <w:rStyle w:val="LinkdaInternet"/>
            <w:rFonts w:ascii="Arial" w:hAnsi="Arial"/>
            <w:sz w:val="20"/>
            <w:szCs w:val="20"/>
            <w:lang w:val="pt-BR"/>
          </w:rPr>
          <w:t>cleversonandersonn@gmail.com</w:t>
        </w:r>
      </w:hyperlink>
      <w:r>
        <w:rPr>
          <w:rFonts w:ascii="Arial" w:hAnsi="Arial"/>
          <w:color w:val="000000"/>
          <w:sz w:val="20"/>
          <w:szCs w:val="20"/>
          <w:lang w:val="pt-BR"/>
        </w:rPr>
        <w:t xml:space="preserve">. </w:t>
      </w:r>
    </w:p>
    <w:p>
      <w:pPr>
        <w:pStyle w:val="LOnormal"/>
        <w:ind w:right="284" w:hanging="0"/>
        <w:jc w:val="center"/>
        <w:rPr>
          <w:rFonts w:ascii="Arial" w:hAnsi="Arial" w:eastAsia="Arial" w:cs="Arial"/>
          <w:color w:val="000000"/>
          <w:sz w:val="20"/>
          <w:szCs w:val="20"/>
          <w:lang w:val="pt-BR"/>
        </w:rPr>
      </w:pPr>
      <w:r>
        <w:rPr>
          <w:rFonts w:eastAsia="Arial" w:cs="Arial" w:ascii="Arial" w:hAnsi="Arial"/>
          <w:color w:val="000000"/>
          <w:sz w:val="20"/>
          <w:szCs w:val="20"/>
          <w:lang w:val="pt-BR"/>
        </w:rPr>
      </w:r>
    </w:p>
    <w:p>
      <w:pPr>
        <w:pStyle w:val="LOnormal"/>
        <w:ind w:right="-8" w:hanging="0"/>
        <w:jc w:val="both"/>
        <w:rPr>
          <w:rFonts w:ascii="Arial" w:hAnsi="Arial" w:cs="Arial"/>
          <w:color w:val="000000"/>
          <w:sz w:val="22"/>
          <w:szCs w:val="22"/>
          <w:lang w:val="pt-BR"/>
        </w:rPr>
      </w:pPr>
      <w:r>
        <w:rPr>
          <w:rFonts w:cs="Arial" w:ascii="Arial" w:hAnsi="Arial"/>
          <w:b/>
          <w:bCs/>
          <w:color w:val="000000"/>
          <w:sz w:val="22"/>
          <w:szCs w:val="22"/>
          <w:u w:val="none" w:color="000000"/>
          <w:lang w:val="pt-BR"/>
        </w:rPr>
        <w:t>Contribuição para a sociedade</w:t>
      </w:r>
      <w:r>
        <w:rPr>
          <w:rFonts w:cs="Arial" w:ascii="Arial" w:hAnsi="Arial"/>
          <w:color w:val="000000"/>
          <w:sz w:val="22"/>
          <w:szCs w:val="22"/>
          <w:u w:val="none" w:color="000000"/>
          <w:lang w:val="pt-BR"/>
        </w:rPr>
        <w:t xml:space="preserve">: </w:t>
      </w:r>
      <w:r>
        <w:rPr>
          <w:rFonts w:cs="Arial" w:ascii="Arial" w:hAnsi="Arial"/>
          <w:color w:val="000000"/>
          <w:sz w:val="22"/>
          <w:szCs w:val="22"/>
          <w:lang w:val="pt-BR"/>
        </w:rPr>
        <w:t>Buscar alternativas para diversificar as áreas de pastagens de clima temperado mais adaptadas ao inverno da Serra Catarinense foi a proposta deste experimento, onde testamos o cultivar XFront, de trigo para pastejo. Os resultados apresentados são referentes a produção de forragem total, taxa de acúmulo e quantidade de folhas, colmos e material morto do trigo, que foi manejado com quatro alturas de cortes diferentes. Os pastos de trigo responderam melhor na altura de manejo que simulava a lotação rotacionada com altura de 25cm e resíduo de 15cm, também foi obtido resultados interessantes no manejo com a manutenção de altura a 20cm. O trigo para pastejo pode ser uma boa opção de diversificação dos pastos trazendo maior rentabilidade devido ao potencial de aumentar a disponibilidade de forragem, principalmente no período outonal.</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s="Arial"/>
          <w:sz w:val="22"/>
          <w:szCs w:val="22"/>
          <w:lang w:val="pt-BR"/>
        </w:rPr>
      </w:pPr>
      <w:r>
        <w:rPr>
          <w:rFonts w:cs="Arial" w:ascii="Arial" w:hAnsi="Arial"/>
          <w:b/>
          <w:bCs/>
          <w:color w:val="000000"/>
          <w:sz w:val="22"/>
          <w:szCs w:val="22"/>
          <w:u w:val="none" w:color="000000"/>
          <w:lang w:val="pt-BR"/>
        </w:rPr>
        <w:t>Palavras-chave</w:t>
      </w:r>
      <w:r>
        <w:rPr>
          <w:rFonts w:cs="Arial" w:ascii="Arial" w:hAnsi="Arial"/>
          <w:color w:val="000000"/>
          <w:sz w:val="22"/>
          <w:szCs w:val="22"/>
          <w:u w:val="none" w:color="000000"/>
          <w:lang w:val="pt-BR"/>
        </w:rPr>
        <w:t xml:space="preserve">: lotação contínua; lotação intermitente; </w:t>
      </w:r>
      <w:r>
        <w:rPr>
          <w:rFonts w:cs="Arial" w:ascii="Arial" w:hAnsi="Arial"/>
          <w:i/>
          <w:color w:val="000000"/>
          <w:sz w:val="22"/>
          <w:szCs w:val="22"/>
          <w:lang w:val="pt-BR"/>
        </w:rPr>
        <w:t>Triticum aestivum</w:t>
      </w:r>
      <w:r>
        <w:rPr>
          <w:rFonts w:cs="Arial" w:ascii="Arial" w:hAnsi="Arial"/>
          <w:color w:val="000000"/>
          <w:sz w:val="22"/>
          <w:szCs w:val="22"/>
          <w:lang w:val="pt-BR"/>
        </w:rPr>
        <w:t>.</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Normal"/>
        <w:jc w:val="both"/>
        <w:rPr>
          <w:rFonts w:ascii="Arial" w:hAnsi="Arial" w:cs="Arial"/>
          <w:color w:val="000000"/>
          <w:sz w:val="22"/>
          <w:szCs w:val="22"/>
        </w:rPr>
      </w:pPr>
      <w:r>
        <w:rPr>
          <w:rFonts w:cs="Arial" w:ascii="Arial" w:hAnsi="Arial"/>
          <w:b/>
          <w:bCs/>
          <w:color w:val="000000"/>
          <w:sz w:val="22"/>
          <w:szCs w:val="22"/>
          <w:u w:val="none" w:color="000000"/>
        </w:rPr>
        <w:t xml:space="preserve">Introdução: </w:t>
      </w:r>
      <w:r>
        <w:rPr>
          <w:rFonts w:cs="Arial" w:ascii="Arial" w:hAnsi="Arial"/>
          <w:color w:val="000000"/>
          <w:sz w:val="22"/>
          <w:szCs w:val="22"/>
        </w:rPr>
        <w:t xml:space="preserve">As forrageiras de clima temperado são uma alternativa importante para a produção animal na região Sul do Brasil, e o manejo adequado dessas espécies é essencial para garantir a produção em quantidade e qualidade para os animais. Assim, novos cultivares de espécies diferentes e o manejo empregado nessas forrageiras são de grande importância. O manejo do pastejo deve ser conduzido de maneira a garantir um equilíbrio entre os processos de crescimento e senescência das plantas forrageiras, e também, do consumo pelo pastejo ou corte. Isso é crucial para evitar perdas de forragem devido a perda de qualidade em intensidades de pastejo muito baixas, bem como para evitar uma taxa de crescimento insuficiente das plantas devido a intensidades de pastejo muito elevadas (SILVA, 2004; ZILIO </w:t>
      </w:r>
      <w:r>
        <w:rPr>
          <w:rFonts w:cs="Arial" w:ascii="Arial" w:hAnsi="Arial"/>
          <w:iCs/>
          <w:color w:val="000000"/>
          <w:sz w:val="22"/>
          <w:szCs w:val="22"/>
        </w:rPr>
        <w:t>et al</w:t>
      </w:r>
      <w:r>
        <w:rPr>
          <w:rFonts w:cs="Arial" w:ascii="Arial" w:hAnsi="Arial"/>
          <w:i/>
          <w:iCs/>
          <w:color w:val="000000"/>
          <w:sz w:val="22"/>
          <w:szCs w:val="22"/>
        </w:rPr>
        <w:t>.</w:t>
      </w:r>
      <w:r>
        <w:rPr>
          <w:rFonts w:cs="Arial" w:ascii="Arial" w:hAnsi="Arial"/>
          <w:color w:val="000000"/>
          <w:sz w:val="22"/>
          <w:szCs w:val="22"/>
        </w:rPr>
        <w:t xml:space="preserve">, 2017). O objetivo principal deste trabalho foi avaliar o acúmulo de forragem total e seus componentes morfológicos (folha, colmo e material morto). A altura de manejo é um dos critérios mais relevantes, devido à sua ampla aplicação e à facilidade de mensuração no campo. Isso ocorre porque qualquer modificação na altura do pasto pode acarretar alterações significativas na estrutura das plantas forrageiras (COLEVATE, 2015; PIVATTO </w:t>
      </w:r>
      <w:r>
        <w:rPr>
          <w:rFonts w:cs="Arial" w:ascii="Arial" w:hAnsi="Arial"/>
          <w:iCs/>
          <w:color w:val="000000"/>
          <w:sz w:val="22"/>
          <w:szCs w:val="22"/>
        </w:rPr>
        <w:t>et al</w:t>
      </w:r>
      <w:r>
        <w:rPr>
          <w:rFonts w:cs="Arial" w:ascii="Arial" w:hAnsi="Arial"/>
          <w:i/>
          <w:iCs/>
          <w:color w:val="000000"/>
          <w:sz w:val="22"/>
          <w:szCs w:val="22"/>
        </w:rPr>
        <w:t>.</w:t>
      </w:r>
      <w:r>
        <w:rPr>
          <w:rFonts w:cs="Arial" w:ascii="Arial" w:hAnsi="Arial"/>
          <w:color w:val="000000"/>
          <w:sz w:val="22"/>
          <w:szCs w:val="22"/>
        </w:rPr>
        <w:t xml:space="preserve">, 2019). </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eastAsia="Arial" w:cs="Arial"/>
          <w:color w:val="000000"/>
          <w:sz w:val="22"/>
          <w:szCs w:val="22"/>
          <w:u w:val="none" w:color="000000"/>
          <w:lang w:val="pt-BR"/>
        </w:rPr>
      </w:pPr>
      <w:bookmarkStart w:id="0" w:name="_headingh.30j0zll"/>
      <w:bookmarkEnd w:id="0"/>
      <w:r>
        <w:rPr>
          <w:rFonts w:cs="Arial" w:ascii="Arial" w:hAnsi="Arial"/>
          <w:b/>
          <w:bCs/>
          <w:color w:val="000000"/>
          <w:sz w:val="22"/>
          <w:szCs w:val="22"/>
          <w:u w:val="none" w:color="000000"/>
          <w:lang w:val="pt-BR"/>
        </w:rPr>
        <w:t>Material e métodos:</w:t>
      </w:r>
      <w:r>
        <w:rPr>
          <w:rFonts w:cs="Arial" w:ascii="Arial" w:hAnsi="Arial"/>
          <w:color w:val="000000"/>
          <w:sz w:val="22"/>
          <w:szCs w:val="22"/>
          <w:u w:val="none" w:color="000000"/>
          <w:lang w:val="pt-BR"/>
        </w:rPr>
        <w:t xml:space="preserve"> </w:t>
      </w:r>
      <w:r>
        <w:rPr>
          <w:rFonts w:cs="Arial" w:ascii="Arial" w:hAnsi="Arial"/>
          <w:color w:val="000000"/>
          <w:sz w:val="22"/>
          <w:szCs w:val="22"/>
          <w:lang w:val="pt-BR"/>
        </w:rPr>
        <w:t>O experimento foi conduzido na Fazenda Experimental Agropecuária da Universidade Federal de Santa Catarina, campus de Curitibanos. O solo utilizado para a realização do experimento é classificado como Cambissolo Háplico, apresentando uma textura predominantemente argilosa. O delineamento experimental foi o de blocos inteiramente casualizados (DIC), com quatro repetições e quatro tratamentos, sendo: T1 - Simulação de lotação intermitente (LI) com altura de “entrada” de 25 cm e resíduo de 15 cm (25/15); T2 - Simulação de lotação intermitente com altura de “entrada” de 25cm e resíduo de 7 cm (25/7); T3 - Simulação de lotação contínua (LC) com altura de manutenção de 10cm.; T4 - Simulação de lotação contínua com altura de manutenção de 20 cm. O cultivar de trigo utilizada no experimento foi a XFront, composta por três cultivares: Tbio Ponteiro, Lenox e Pastejo I, fornecida pela empresa Biotrigo Genética e Nutrição Animal. O manejo incluiu duas adubações nitrogenadas com uma dose de 50kg de N ha</w:t>
      </w:r>
      <w:r>
        <w:rPr>
          <w:rFonts w:cs="Arial" w:ascii="Arial" w:hAnsi="Arial"/>
          <w:color w:val="000000"/>
          <w:sz w:val="22"/>
          <w:szCs w:val="22"/>
          <w:vertAlign w:val="superscript"/>
          <w:lang w:val="pt-BR"/>
        </w:rPr>
        <w:t>-1</w:t>
      </w:r>
      <w:r>
        <w:rPr>
          <w:rFonts w:cs="Arial" w:ascii="Arial" w:hAnsi="Arial"/>
          <w:color w:val="000000"/>
          <w:sz w:val="22"/>
          <w:szCs w:val="22"/>
          <w:lang w:val="pt-BR"/>
        </w:rPr>
        <w:t>, uma durante o perfilhamento das plantas e outra após o primeiro corte, na forma de ureia. As amostragens tiveram início com a medição da altura média das parcelas, utilizando uma régua graduada em centímetros. Foram realizadas 10 medições aleatórias em cada parcela, e a média dessas medidas foi utilizada para realizar a coleta de forragem. Nas parcelas com manejo de LI as avaliações foram realizadas sempre que as plantas atingiam 25cm, após a coleta todas as parcelas eram rebaixadas a 15 ou 7cm. Nas parcelas com altura de 10cm ou 20cm, as amostragens eram realizadas a cada 21 dias, essas parcelas foram mantidas por corte nas alturas de meta estabelecidas. Para avaliar massa de forragem, foi utilizado um retângulo de 0,125m², e todo o pasto contido dentro deste quadro foi cortado rente ao solo. Tesouras de poda foram empregadas para o rebaixamento dos pastos. Após a coleta das amostras a campo, estas foram imediatamente levadas ao laboratório e pesadas individualmente para evitar perda de água significativa. Duas subamostras foram retiradas: a primeira foi pesada novamente e então seca em estufa, enquanto a segunda foi estratificada em lâmina foliar, colmo mais bainha e material morto, sendo posteriormente também submetida a secagem em estufa. Os pesos secos foram convertidos para calcular a produção total de forragem (soma dos acúmulos), taxa de acúmulo de forragem (acúmulo dividido pelo período de rebrota), massa de folhas, colmo e material morto, todos expressos em kg de matéria seca por hectare (kg de MS ha</w:t>
      </w:r>
      <w:r>
        <w:rPr>
          <w:rFonts w:cs="Arial" w:ascii="Arial" w:hAnsi="Arial"/>
          <w:color w:val="000000"/>
          <w:sz w:val="22"/>
          <w:szCs w:val="22"/>
          <w:vertAlign w:val="superscript"/>
          <w:lang w:val="pt-BR"/>
        </w:rPr>
        <w:t>-1</w:t>
      </w:r>
      <w:r>
        <w:rPr>
          <w:rFonts w:cs="Arial" w:ascii="Arial" w:hAnsi="Arial"/>
          <w:color w:val="000000"/>
          <w:sz w:val="22"/>
          <w:szCs w:val="22"/>
          <w:lang w:val="pt-BR"/>
        </w:rPr>
        <w:t xml:space="preserve">), sendo esse valor a média obtida nos quatro cortes realizados. Os dados obtidos foram submetidos a análise de variância, e as médias dos tratamentos foram comparadas utilizando o teste de </w:t>
      </w:r>
      <w:r>
        <w:rPr>
          <w:rFonts w:cs="Arial" w:ascii="Arial" w:hAnsi="Arial"/>
          <w:iCs/>
          <w:color w:val="000000"/>
          <w:sz w:val="22"/>
          <w:szCs w:val="22"/>
          <w:lang w:val="pt-BR"/>
        </w:rPr>
        <w:t>Tukey</w:t>
      </w:r>
      <w:r>
        <w:rPr>
          <w:rFonts w:cs="Arial" w:ascii="Arial" w:hAnsi="Arial"/>
          <w:color w:val="000000"/>
          <w:sz w:val="22"/>
          <w:szCs w:val="22"/>
          <w:lang w:val="pt-BR"/>
        </w:rPr>
        <w:t xml:space="preserve"> com um nível de significância de 5%. O software utilizado para a análise estatística foi o SISVAR.</w:t>
      </w:r>
    </w:p>
    <w:p>
      <w:pPr>
        <w:pStyle w:val="LOnormal"/>
        <w:spacing w:before="240" w:after="0"/>
        <w:ind w:left="20" w:hanging="0"/>
        <w:jc w:val="both"/>
        <w:rPr>
          <w:rFonts w:ascii="Arial" w:hAnsi="Arial" w:eastAsia="Arial" w:cs="Arial"/>
          <w:color w:val="000000"/>
          <w:sz w:val="22"/>
          <w:szCs w:val="22"/>
          <w:lang w:val="pt-BR"/>
        </w:rPr>
      </w:pPr>
      <w:r>
        <w:rPr>
          <w:rFonts w:cs="Arial" w:ascii="Arial" w:hAnsi="Arial"/>
          <w:b/>
          <w:bCs/>
          <w:color w:val="000000"/>
          <w:sz w:val="22"/>
          <w:szCs w:val="22"/>
          <w:u w:val="none" w:color="000000"/>
          <w:lang w:val="pt-BR"/>
        </w:rPr>
        <w:t>Resultados e discussão:</w:t>
      </w:r>
      <w:r>
        <w:rPr>
          <w:rFonts w:cs="Arial" w:ascii="Arial" w:hAnsi="Arial"/>
          <w:color w:val="000000"/>
          <w:sz w:val="22"/>
          <w:szCs w:val="22"/>
          <w:u w:val="none" w:color="000000"/>
          <w:lang w:val="pt-BR"/>
        </w:rPr>
        <w:t xml:space="preserve"> </w:t>
      </w:r>
      <w:r>
        <w:rPr>
          <w:rFonts w:eastAsia="Arial" w:cs="Arial" w:ascii="Arial" w:hAnsi="Arial"/>
          <w:color w:val="000000"/>
          <w:sz w:val="22"/>
          <w:szCs w:val="22"/>
          <w:lang w:val="pt-BR"/>
        </w:rPr>
        <w:t xml:space="preserve">Os resultados demonstraram que os diferentes tratamentos tiveram um impacto significativo na produção de forragem e nos componentes morfológicos do trigo (Tabela 1). </w:t>
      </w:r>
      <w:r>
        <w:rPr>
          <w:rFonts w:cs="Arial" w:ascii="Arial" w:hAnsi="Arial"/>
          <w:color w:val="auto"/>
          <w:sz w:val="22"/>
          <w:szCs w:val="22"/>
          <w:lang w:val="pt-BR"/>
        </w:rPr>
        <w:t>O trigo mantido a 20cm apresentou maior produção de forragem total, seguido das parcelas que foram mantidas a 10cm, já as plantas que receberam os cortes simulando a lotação intermitente apresentaram os menores valores e foram semelhantes entre as alturas de resíduo de 7 e 15cm. Analisando a taxa de acúmulo de forragem (TA), não foram observadas diferenças significativas entre os tratamentos.</w:t>
      </w:r>
      <w:r>
        <w:rPr>
          <w:rFonts w:eastAsia="Arial" w:cs="Arial" w:ascii="Arial" w:hAnsi="Arial"/>
          <w:color w:val="000000"/>
          <w:sz w:val="22"/>
          <w:szCs w:val="22"/>
          <w:lang w:val="pt-BR"/>
        </w:rPr>
        <w:t xml:space="preserve"> Quanto à massa de folhas, as parcelas mantidas em lotação contínua se destacaram, o mesmo comportamento foi observado para a massa de colmos e material morto, sendo essa variável a massa de forragem média obtida nos cortes realizados. </w:t>
      </w:r>
    </w:p>
    <w:p>
      <w:pPr>
        <w:pStyle w:val="LOnormal"/>
        <w:spacing w:before="240" w:after="0"/>
        <w:ind w:left="20" w:hanging="0"/>
        <w:jc w:val="both"/>
        <w:rPr>
          <w:rFonts w:ascii="Segoe UI" w:hAnsi="Segoe UI" w:cs="Segoe UI"/>
          <w:b/>
          <w:b/>
          <w:bCs/>
          <w:bdr w:val="single" w:sz="2" w:space="0" w:color="D9D9E3"/>
          <w:shd w:fill="F7F7F8" w:val="clear"/>
          <w:lang w:val="pt-BR"/>
        </w:rPr>
      </w:pPr>
      <w:r>
        <w:rPr>
          <w:rFonts w:ascii="Arial" w:hAnsi="Arial"/>
          <w:color w:val="000000"/>
          <w:sz w:val="22"/>
          <w:szCs w:val="22"/>
          <w:lang w:val="pt-BR"/>
        </w:rPr>
        <w:t>Tabela 1.</w:t>
      </w:r>
      <w:r>
        <w:rPr>
          <w:rFonts w:ascii="Arial" w:hAnsi="Arial"/>
          <w:b/>
          <w:bCs/>
          <w:color w:val="000000"/>
          <w:sz w:val="22"/>
          <w:szCs w:val="22"/>
          <w:lang w:val="pt-BR"/>
        </w:rPr>
        <w:t xml:space="preserve"> </w:t>
      </w:r>
      <w:r>
        <w:rPr>
          <w:rFonts w:ascii="Arial" w:hAnsi="Arial"/>
          <w:color w:val="000000"/>
          <w:sz w:val="22"/>
          <w:szCs w:val="22"/>
          <w:lang w:val="pt-BR"/>
        </w:rPr>
        <w:t>Produção de forragem total (kg de MS ha</w:t>
      </w:r>
      <w:r>
        <w:rPr>
          <w:rFonts w:ascii="Arial" w:hAnsi="Arial"/>
          <w:color w:val="000000"/>
          <w:sz w:val="22"/>
          <w:szCs w:val="22"/>
          <w:vertAlign w:val="superscript"/>
          <w:lang w:val="pt-BR"/>
        </w:rPr>
        <w:t>-1</w:t>
      </w:r>
      <w:r>
        <w:rPr>
          <w:rFonts w:ascii="Arial" w:hAnsi="Arial"/>
          <w:color w:val="000000"/>
          <w:sz w:val="22"/>
          <w:szCs w:val="22"/>
          <w:lang w:val="pt-BR"/>
        </w:rPr>
        <w:t>), taxa de acúmulo (TA, kg de MS ha</w:t>
      </w:r>
      <w:r>
        <w:rPr>
          <w:rFonts w:ascii="Arial" w:hAnsi="Arial"/>
          <w:color w:val="000000"/>
          <w:sz w:val="22"/>
          <w:szCs w:val="22"/>
          <w:vertAlign w:val="superscript"/>
          <w:lang w:val="pt-BR"/>
        </w:rPr>
        <w:t xml:space="preserve">-1 </w:t>
      </w:r>
      <w:r>
        <w:rPr>
          <w:rFonts w:ascii="Arial" w:hAnsi="Arial"/>
          <w:color w:val="000000"/>
          <w:sz w:val="22"/>
          <w:szCs w:val="22"/>
          <w:lang w:val="pt-BR"/>
        </w:rPr>
        <w:t>dia</w:t>
      </w:r>
      <w:r>
        <w:rPr>
          <w:rFonts w:ascii="Arial" w:hAnsi="Arial"/>
          <w:color w:val="000000"/>
          <w:sz w:val="22"/>
          <w:szCs w:val="22"/>
          <w:vertAlign w:val="superscript"/>
          <w:lang w:val="pt-BR"/>
        </w:rPr>
        <w:t>-1</w:t>
      </w:r>
      <w:r>
        <w:rPr>
          <w:rFonts w:ascii="Arial" w:hAnsi="Arial"/>
          <w:color w:val="000000"/>
          <w:sz w:val="22"/>
          <w:szCs w:val="22"/>
          <w:lang w:val="pt-BR"/>
        </w:rPr>
        <w:t>), massa de forragem de folhas (MF), colmos (MC) e material morto (MM) (kg de MS por componente ha</w:t>
      </w:r>
      <w:r>
        <w:rPr>
          <w:rFonts w:ascii="Arial" w:hAnsi="Arial"/>
          <w:color w:val="000000"/>
          <w:sz w:val="22"/>
          <w:szCs w:val="22"/>
          <w:vertAlign w:val="superscript"/>
          <w:lang w:val="pt-BR"/>
        </w:rPr>
        <w:t>-1</w:t>
      </w:r>
      <w:r>
        <w:rPr>
          <w:rFonts w:ascii="Arial" w:hAnsi="Arial"/>
          <w:color w:val="000000"/>
          <w:sz w:val="22"/>
          <w:szCs w:val="22"/>
          <w:lang w:val="pt-BR"/>
        </w:rPr>
        <w:t>) em patagem de trigo cv. XFront, submetido a diferentes alturas de manejo, simulando lotação intermitente e contínua, na cidade de Curitibanos (SC)</w:t>
      </w:r>
    </w:p>
    <w:tbl>
      <w:tblPr>
        <w:tblStyle w:val="Tabelacomgrade"/>
        <w:tblW w:w="8931" w:type="dxa"/>
        <w:jc w:val="left"/>
        <w:tblInd w:w="0" w:type="dxa"/>
        <w:tblLayout w:type="fixed"/>
        <w:tblCellMar>
          <w:top w:w="0" w:type="dxa"/>
          <w:left w:w="0" w:type="dxa"/>
          <w:bottom w:w="0" w:type="dxa"/>
          <w:right w:w="0" w:type="dxa"/>
        </w:tblCellMar>
        <w:tblLook w:firstRow="1" w:noVBand="1" w:lastRow="0" w:firstColumn="1" w:lastColumn="0" w:noHBand="0" w:val="04a0"/>
      </w:tblPr>
      <w:tblGrid>
        <w:gridCol w:w="1546"/>
        <w:gridCol w:w="1822"/>
        <w:gridCol w:w="1273"/>
        <w:gridCol w:w="1546"/>
        <w:gridCol w:w="1547"/>
        <w:gridCol w:w="1196"/>
      </w:tblGrid>
      <w:tr>
        <w:trPr>
          <w:trHeight w:val="20" w:hRule="atLeast"/>
        </w:trPr>
        <w:tc>
          <w:tcPr>
            <w:tcW w:w="1546" w:type="dxa"/>
            <w:vMerge w:val="restart"/>
            <w:tcBorders>
              <w:left w:val="nil"/>
              <w:right w:val="nil"/>
            </w:tcBorders>
            <w:vAlign w:val="center"/>
          </w:tcPr>
          <w:p>
            <w:pPr>
              <w:pStyle w:val="Normal"/>
              <w:widowControl/>
              <w:spacing w:before="0" w:after="0"/>
              <w:jc w:val="center"/>
              <w:rPr>
                <w:rFonts w:ascii="Arial" w:hAnsi="Arial" w:cs="Arial"/>
                <w:b/>
                <w:b/>
                <w:bCs/>
                <w:sz w:val="20"/>
                <w:szCs w:val="20"/>
              </w:rPr>
            </w:pPr>
            <w:r>
              <w:rPr>
                <w:rFonts w:eastAsia="Arial Unicode MS" w:cs="Arial" w:ascii="Arial" w:hAnsi="Arial"/>
                <w:b/>
                <w:bCs/>
                <w:kern w:val="0"/>
                <w:sz w:val="20"/>
                <w:szCs w:val="20"/>
                <w:lang w:val="pt-BR" w:bidi="ar-SA"/>
              </w:rPr>
              <w:t xml:space="preserve">Tratamentos </w:t>
            </w:r>
          </w:p>
          <w:p>
            <w:pPr>
              <w:pStyle w:val="Normal"/>
              <w:widowControl/>
              <w:spacing w:before="0" w:after="0"/>
              <w:jc w:val="center"/>
              <w:rPr>
                <w:rFonts w:ascii="Arial" w:hAnsi="Arial" w:cs="Arial"/>
                <w:b/>
                <w:b/>
                <w:bCs/>
                <w:sz w:val="20"/>
                <w:szCs w:val="20"/>
              </w:rPr>
            </w:pPr>
            <w:r>
              <w:rPr>
                <w:rFonts w:eastAsia="Arial Unicode MS" w:cs="Arial" w:ascii="Arial" w:hAnsi="Arial"/>
                <w:b/>
                <w:bCs/>
                <w:kern w:val="0"/>
                <w:sz w:val="20"/>
                <w:szCs w:val="20"/>
                <w:lang w:val="pt-BR" w:bidi="ar-SA"/>
              </w:rPr>
              <w:t xml:space="preserve">(cm)  </w:t>
            </w:r>
          </w:p>
        </w:tc>
        <w:tc>
          <w:tcPr>
            <w:tcW w:w="7384" w:type="dxa"/>
            <w:gridSpan w:val="5"/>
            <w:tcBorders>
              <w:left w:val="nil"/>
              <w:right w:val="nil"/>
            </w:tcBorders>
            <w:vAlign w:val="center"/>
          </w:tcPr>
          <w:p>
            <w:pPr>
              <w:pStyle w:val="Normal"/>
              <w:widowControl/>
              <w:spacing w:before="0" w:after="0"/>
              <w:jc w:val="center"/>
              <w:rPr>
                <w:rFonts w:ascii="Arial" w:hAnsi="Arial" w:cs="Arial"/>
                <w:b/>
                <w:b/>
                <w:bCs/>
                <w:sz w:val="20"/>
                <w:szCs w:val="20"/>
              </w:rPr>
            </w:pPr>
            <w:r>
              <w:rPr>
                <w:rFonts w:eastAsia="Arial Unicode MS" w:cs="Arial" w:ascii="Arial" w:hAnsi="Arial"/>
                <w:b/>
                <w:bCs/>
                <w:kern w:val="0"/>
                <w:sz w:val="20"/>
                <w:szCs w:val="20"/>
                <w:lang w:val="pt-BR" w:bidi="ar-SA"/>
              </w:rPr>
              <w:t>Variáveis</w:t>
            </w:r>
          </w:p>
        </w:tc>
      </w:tr>
      <w:tr>
        <w:trPr>
          <w:trHeight w:val="20" w:hRule="atLeast"/>
        </w:trPr>
        <w:tc>
          <w:tcPr>
            <w:tcW w:w="1546" w:type="dxa"/>
            <w:vMerge w:val="continue"/>
            <w:tcBorders>
              <w:left w:val="nil"/>
              <w:right w:val="nil"/>
            </w:tcBorders>
            <w:vAlign w:val="center"/>
          </w:tcPr>
          <w:p>
            <w:pPr>
              <w:pStyle w:val="Normal"/>
              <w:widowControl/>
              <w:spacing w:before="0" w:after="0"/>
              <w:jc w:val="center"/>
              <w:rPr>
                <w:rFonts w:ascii="Arial" w:hAnsi="Arial" w:cs="Arial"/>
                <w:b/>
                <w:b/>
                <w:bCs/>
                <w:sz w:val="20"/>
                <w:szCs w:val="20"/>
              </w:rPr>
            </w:pPr>
            <w:r>
              <w:rPr>
                <w:rFonts w:eastAsia="Arial Unicode MS" w:cs="Arial" w:ascii="Arial" w:hAnsi="Arial"/>
                <w:b/>
                <w:bCs/>
                <w:kern w:val="0"/>
                <w:sz w:val="20"/>
                <w:szCs w:val="20"/>
                <w:lang w:val="pt-BR" w:bidi="ar-SA"/>
              </w:rPr>
            </w:r>
          </w:p>
        </w:tc>
        <w:tc>
          <w:tcPr>
            <w:tcW w:w="1822" w:type="dxa"/>
            <w:tcBorders>
              <w:left w:val="nil"/>
              <w:right w:val="nil"/>
            </w:tcBorders>
            <w:vAlign w:val="center"/>
          </w:tcPr>
          <w:p>
            <w:pPr>
              <w:pStyle w:val="Normal"/>
              <w:widowControl/>
              <w:spacing w:before="0" w:after="0"/>
              <w:jc w:val="center"/>
              <w:rPr>
                <w:rFonts w:ascii="Arial" w:hAnsi="Arial" w:cs="Arial"/>
                <w:b/>
                <w:b/>
                <w:bCs/>
                <w:sz w:val="20"/>
                <w:szCs w:val="20"/>
              </w:rPr>
            </w:pPr>
            <w:r>
              <w:rPr>
                <w:rFonts w:eastAsia="Arial Unicode MS" w:cs="Arial" w:ascii="Arial" w:hAnsi="Arial"/>
                <w:b/>
                <w:bCs/>
                <w:kern w:val="0"/>
                <w:sz w:val="20"/>
                <w:szCs w:val="20"/>
                <w:lang w:val="pt-BR" w:bidi="ar-SA"/>
              </w:rPr>
              <w:t>PF</w:t>
            </w:r>
          </w:p>
        </w:tc>
        <w:tc>
          <w:tcPr>
            <w:tcW w:w="1273" w:type="dxa"/>
            <w:tcBorders>
              <w:left w:val="nil"/>
              <w:right w:val="nil"/>
            </w:tcBorders>
            <w:vAlign w:val="center"/>
          </w:tcPr>
          <w:p>
            <w:pPr>
              <w:pStyle w:val="Normal"/>
              <w:widowControl/>
              <w:spacing w:before="0" w:after="0"/>
              <w:jc w:val="center"/>
              <w:rPr>
                <w:rFonts w:ascii="Arial" w:hAnsi="Arial" w:cs="Arial"/>
                <w:b/>
                <w:b/>
                <w:bCs/>
                <w:sz w:val="20"/>
                <w:szCs w:val="20"/>
              </w:rPr>
            </w:pPr>
            <w:r>
              <w:rPr>
                <w:rFonts w:eastAsia="Arial Unicode MS" w:cs="Arial" w:ascii="Arial" w:hAnsi="Arial"/>
                <w:b/>
                <w:bCs/>
                <w:kern w:val="0"/>
                <w:sz w:val="20"/>
                <w:szCs w:val="20"/>
                <w:lang w:val="pt-BR" w:bidi="ar-SA"/>
              </w:rPr>
              <w:t>TA</w:t>
            </w:r>
          </w:p>
        </w:tc>
        <w:tc>
          <w:tcPr>
            <w:tcW w:w="1546" w:type="dxa"/>
            <w:tcBorders>
              <w:left w:val="nil"/>
              <w:right w:val="nil"/>
            </w:tcBorders>
            <w:vAlign w:val="center"/>
          </w:tcPr>
          <w:p>
            <w:pPr>
              <w:pStyle w:val="Normal"/>
              <w:widowControl/>
              <w:spacing w:before="0" w:after="0"/>
              <w:jc w:val="center"/>
              <w:rPr>
                <w:rFonts w:ascii="Arial" w:hAnsi="Arial" w:cs="Arial"/>
                <w:b/>
                <w:b/>
                <w:bCs/>
                <w:sz w:val="20"/>
                <w:szCs w:val="20"/>
              </w:rPr>
            </w:pPr>
            <w:r>
              <w:rPr>
                <w:rFonts w:eastAsia="Arial Unicode MS" w:cs="Arial" w:ascii="Arial" w:hAnsi="Arial"/>
                <w:b/>
                <w:bCs/>
                <w:kern w:val="0"/>
                <w:sz w:val="20"/>
                <w:szCs w:val="20"/>
                <w:lang w:val="pt-BR" w:bidi="ar-SA"/>
              </w:rPr>
              <w:t>MF</w:t>
            </w:r>
          </w:p>
        </w:tc>
        <w:tc>
          <w:tcPr>
            <w:tcW w:w="1547" w:type="dxa"/>
            <w:tcBorders>
              <w:left w:val="nil"/>
              <w:right w:val="nil"/>
            </w:tcBorders>
            <w:vAlign w:val="center"/>
          </w:tcPr>
          <w:p>
            <w:pPr>
              <w:pStyle w:val="Normal"/>
              <w:widowControl/>
              <w:spacing w:before="0" w:after="0"/>
              <w:jc w:val="center"/>
              <w:rPr>
                <w:rFonts w:ascii="Arial" w:hAnsi="Arial" w:cs="Arial"/>
                <w:b/>
                <w:b/>
                <w:bCs/>
                <w:sz w:val="20"/>
                <w:szCs w:val="20"/>
              </w:rPr>
            </w:pPr>
            <w:r>
              <w:rPr>
                <w:rFonts w:eastAsia="Arial Unicode MS" w:cs="Arial" w:ascii="Arial" w:hAnsi="Arial"/>
                <w:b/>
                <w:bCs/>
                <w:kern w:val="0"/>
                <w:sz w:val="20"/>
                <w:szCs w:val="20"/>
                <w:lang w:val="pt-BR" w:bidi="ar-SA"/>
              </w:rPr>
              <w:t>MC</w:t>
            </w:r>
          </w:p>
        </w:tc>
        <w:tc>
          <w:tcPr>
            <w:tcW w:w="1196" w:type="dxa"/>
            <w:tcBorders>
              <w:left w:val="nil"/>
              <w:right w:val="nil"/>
            </w:tcBorders>
            <w:vAlign w:val="center"/>
          </w:tcPr>
          <w:p>
            <w:pPr>
              <w:pStyle w:val="Normal"/>
              <w:widowControl/>
              <w:spacing w:before="0" w:after="0"/>
              <w:jc w:val="center"/>
              <w:rPr>
                <w:rFonts w:ascii="Arial" w:hAnsi="Arial" w:cs="Arial"/>
                <w:b/>
                <w:b/>
                <w:bCs/>
                <w:sz w:val="20"/>
                <w:szCs w:val="20"/>
              </w:rPr>
            </w:pPr>
            <w:r>
              <w:rPr>
                <w:rFonts w:eastAsia="Arial Unicode MS" w:cs="Arial" w:ascii="Arial" w:hAnsi="Arial"/>
                <w:b/>
                <w:bCs/>
                <w:kern w:val="0"/>
                <w:sz w:val="20"/>
                <w:szCs w:val="20"/>
                <w:lang w:val="pt-BR" w:bidi="ar-SA"/>
              </w:rPr>
              <w:t>MM</w:t>
            </w:r>
          </w:p>
        </w:tc>
      </w:tr>
      <w:tr>
        <w:trPr>
          <w:trHeight w:val="20" w:hRule="atLeast"/>
        </w:trPr>
        <w:tc>
          <w:tcPr>
            <w:tcW w:w="1546" w:type="dxa"/>
            <w:tcBorders>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25/15</w:t>
            </w:r>
          </w:p>
        </w:tc>
        <w:tc>
          <w:tcPr>
            <w:tcW w:w="1822" w:type="dxa"/>
            <w:tcBorders>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5595,93 c</w:t>
            </w:r>
          </w:p>
        </w:tc>
        <w:tc>
          <w:tcPr>
            <w:tcW w:w="1273" w:type="dxa"/>
            <w:tcBorders>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53,34</w:t>
            </w:r>
          </w:p>
        </w:tc>
        <w:tc>
          <w:tcPr>
            <w:tcW w:w="1546" w:type="dxa"/>
            <w:tcBorders>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768,89 c</w:t>
            </w:r>
          </w:p>
        </w:tc>
        <w:tc>
          <w:tcPr>
            <w:tcW w:w="1547" w:type="dxa"/>
            <w:tcBorders>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158,85 c</w:t>
            </w:r>
          </w:p>
        </w:tc>
        <w:tc>
          <w:tcPr>
            <w:tcW w:w="1196" w:type="dxa"/>
            <w:tcBorders>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18,79 c</w:t>
            </w:r>
          </w:p>
        </w:tc>
      </w:tr>
      <w:tr>
        <w:trPr>
          <w:trHeight w:val="20" w:hRule="atLeast"/>
        </w:trPr>
        <w:tc>
          <w:tcPr>
            <w:tcW w:w="1546" w:type="dxa"/>
            <w:tcBorders>
              <w:top w:val="nil"/>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25/07</w:t>
            </w:r>
          </w:p>
        </w:tc>
        <w:tc>
          <w:tcPr>
            <w:tcW w:w="1822" w:type="dxa"/>
            <w:tcBorders>
              <w:top w:val="nil"/>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4320,79 c</w:t>
            </w:r>
          </w:p>
        </w:tc>
        <w:tc>
          <w:tcPr>
            <w:tcW w:w="1273" w:type="dxa"/>
            <w:tcBorders>
              <w:top w:val="nil"/>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41,85</w:t>
            </w:r>
          </w:p>
        </w:tc>
        <w:tc>
          <w:tcPr>
            <w:tcW w:w="1546" w:type="dxa"/>
            <w:tcBorders>
              <w:top w:val="nil"/>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778,00 c</w:t>
            </w:r>
          </w:p>
        </w:tc>
        <w:tc>
          <w:tcPr>
            <w:tcW w:w="1547" w:type="dxa"/>
            <w:tcBorders>
              <w:top w:val="nil"/>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139,73 c</w:t>
            </w:r>
          </w:p>
        </w:tc>
        <w:tc>
          <w:tcPr>
            <w:tcW w:w="1196" w:type="dxa"/>
            <w:tcBorders>
              <w:top w:val="nil"/>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31,21 c</w:t>
            </w:r>
          </w:p>
        </w:tc>
      </w:tr>
      <w:tr>
        <w:trPr>
          <w:trHeight w:val="20" w:hRule="atLeast"/>
        </w:trPr>
        <w:tc>
          <w:tcPr>
            <w:tcW w:w="1546" w:type="dxa"/>
            <w:tcBorders>
              <w:top w:val="nil"/>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10</w:t>
            </w:r>
          </w:p>
        </w:tc>
        <w:tc>
          <w:tcPr>
            <w:tcW w:w="1822" w:type="dxa"/>
            <w:tcBorders>
              <w:top w:val="nil"/>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6514,44 b</w:t>
            </w:r>
          </w:p>
        </w:tc>
        <w:tc>
          <w:tcPr>
            <w:tcW w:w="1273" w:type="dxa"/>
            <w:tcBorders>
              <w:top w:val="nil"/>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51,15</w:t>
            </w:r>
          </w:p>
        </w:tc>
        <w:tc>
          <w:tcPr>
            <w:tcW w:w="1546" w:type="dxa"/>
            <w:tcBorders>
              <w:top w:val="nil"/>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1154,24 b</w:t>
            </w:r>
          </w:p>
        </w:tc>
        <w:tc>
          <w:tcPr>
            <w:tcW w:w="1547" w:type="dxa"/>
            <w:tcBorders>
              <w:top w:val="nil"/>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669,98 b</w:t>
            </w:r>
          </w:p>
        </w:tc>
        <w:tc>
          <w:tcPr>
            <w:tcW w:w="1196" w:type="dxa"/>
            <w:tcBorders>
              <w:top w:val="nil"/>
              <w:left w:val="nil"/>
              <w:bottom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197,34 b</w:t>
            </w:r>
          </w:p>
        </w:tc>
      </w:tr>
      <w:tr>
        <w:trPr>
          <w:trHeight w:val="20" w:hRule="atLeast"/>
        </w:trPr>
        <w:tc>
          <w:tcPr>
            <w:tcW w:w="1546" w:type="dxa"/>
            <w:tcBorders>
              <w:top w:val="nil"/>
              <w:left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20</w:t>
            </w:r>
          </w:p>
        </w:tc>
        <w:tc>
          <w:tcPr>
            <w:tcW w:w="1822" w:type="dxa"/>
            <w:tcBorders>
              <w:top w:val="nil"/>
              <w:left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6858,81 a</w:t>
            </w:r>
          </w:p>
        </w:tc>
        <w:tc>
          <w:tcPr>
            <w:tcW w:w="1273" w:type="dxa"/>
            <w:tcBorders>
              <w:top w:val="nil"/>
              <w:left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63,97</w:t>
            </w:r>
          </w:p>
        </w:tc>
        <w:tc>
          <w:tcPr>
            <w:tcW w:w="1546" w:type="dxa"/>
            <w:tcBorders>
              <w:top w:val="nil"/>
              <w:left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1544,43 a</w:t>
            </w:r>
          </w:p>
        </w:tc>
        <w:tc>
          <w:tcPr>
            <w:tcW w:w="1547" w:type="dxa"/>
            <w:tcBorders>
              <w:top w:val="nil"/>
              <w:left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1004,98 a</w:t>
            </w:r>
          </w:p>
        </w:tc>
        <w:tc>
          <w:tcPr>
            <w:tcW w:w="1196" w:type="dxa"/>
            <w:tcBorders>
              <w:top w:val="nil"/>
              <w:left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392,46 a</w:t>
            </w:r>
          </w:p>
        </w:tc>
      </w:tr>
      <w:tr>
        <w:trPr>
          <w:trHeight w:val="20" w:hRule="atLeast"/>
        </w:trPr>
        <w:tc>
          <w:tcPr>
            <w:tcW w:w="1546" w:type="dxa"/>
            <w:tcBorders>
              <w:left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CV%</w:t>
            </w:r>
            <w:r>
              <w:rPr>
                <w:rFonts w:eastAsia="Arial Unicode MS" w:cs="Arial" w:ascii="Arial" w:hAnsi="Arial"/>
                <w:kern w:val="0"/>
                <w:sz w:val="20"/>
                <w:szCs w:val="20"/>
                <w:vertAlign w:val="superscript"/>
                <w:lang w:val="pt-BR" w:bidi="ar-SA"/>
              </w:rPr>
              <w:t>1</w:t>
            </w:r>
          </w:p>
        </w:tc>
        <w:tc>
          <w:tcPr>
            <w:tcW w:w="1822" w:type="dxa"/>
            <w:tcBorders>
              <w:left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28,4</w:t>
            </w:r>
          </w:p>
        </w:tc>
        <w:tc>
          <w:tcPr>
            <w:tcW w:w="1273" w:type="dxa"/>
            <w:tcBorders>
              <w:left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23,09</w:t>
            </w:r>
          </w:p>
        </w:tc>
        <w:tc>
          <w:tcPr>
            <w:tcW w:w="1546" w:type="dxa"/>
            <w:tcBorders>
              <w:left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12,77</w:t>
            </w:r>
          </w:p>
        </w:tc>
        <w:tc>
          <w:tcPr>
            <w:tcW w:w="1547" w:type="dxa"/>
            <w:tcBorders>
              <w:left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25,52</w:t>
            </w:r>
          </w:p>
        </w:tc>
        <w:tc>
          <w:tcPr>
            <w:tcW w:w="1196" w:type="dxa"/>
            <w:tcBorders>
              <w:left w:val="nil"/>
              <w:right w:val="nil"/>
            </w:tcBorders>
            <w:vAlign w:val="center"/>
          </w:tcPr>
          <w:p>
            <w:pPr>
              <w:pStyle w:val="Normal"/>
              <w:widowControl/>
              <w:spacing w:before="0" w:after="0"/>
              <w:jc w:val="center"/>
              <w:rPr>
                <w:rFonts w:ascii="Arial" w:hAnsi="Arial" w:cs="Arial"/>
                <w:sz w:val="20"/>
                <w:szCs w:val="20"/>
              </w:rPr>
            </w:pPr>
            <w:r>
              <w:rPr>
                <w:rFonts w:eastAsia="Arial Unicode MS" w:cs="Arial" w:ascii="Arial" w:hAnsi="Arial"/>
                <w:kern w:val="0"/>
                <w:sz w:val="20"/>
                <w:szCs w:val="20"/>
                <w:lang w:val="pt-BR" w:bidi="ar-SA"/>
              </w:rPr>
              <w:t>41,59</w:t>
            </w:r>
          </w:p>
        </w:tc>
      </w:tr>
    </w:tbl>
    <w:p>
      <w:pPr>
        <w:pStyle w:val="LOnormal"/>
        <w:rPr>
          <w:rFonts w:ascii="Arial" w:hAnsi="Arial"/>
          <w:color w:val="000000"/>
          <w:sz w:val="20"/>
          <w:szCs w:val="20"/>
          <w:lang w:val="pt-BR"/>
        </w:rPr>
      </w:pPr>
      <w:r>
        <w:rPr>
          <w:rFonts w:ascii="Arial" w:hAnsi="Arial"/>
          <w:color w:val="000000"/>
          <w:sz w:val="20"/>
          <w:szCs w:val="20"/>
          <w:lang w:val="pt-BR"/>
        </w:rPr>
        <w:t xml:space="preserve">*Letras minúsculas iguais não diferem entre si, nas colunas, de acordo com o teste de </w:t>
      </w:r>
      <w:r>
        <w:rPr>
          <w:rFonts w:ascii="Arial" w:hAnsi="Arial"/>
          <w:iCs/>
          <w:color w:val="000000"/>
          <w:sz w:val="20"/>
          <w:szCs w:val="20"/>
          <w:lang w:val="pt-BR"/>
        </w:rPr>
        <w:t>Tukey</w:t>
      </w:r>
      <w:r>
        <w:rPr>
          <w:rFonts w:ascii="Arial" w:hAnsi="Arial"/>
          <w:color w:val="000000"/>
          <w:sz w:val="20"/>
          <w:szCs w:val="20"/>
          <w:lang w:val="pt-BR"/>
        </w:rPr>
        <w:t xml:space="preserve"> a 5% de significância; ¹ CV%: coeficiente de variância.</w:t>
      </w:r>
    </w:p>
    <w:p>
      <w:pPr>
        <w:pStyle w:val="LOnormal"/>
        <w:jc w:val="both"/>
        <w:rPr>
          <w:rFonts w:ascii="Arial" w:hAnsi="Arial" w:eastAsia="Arial" w:cs="Arial"/>
          <w:color w:val="000000"/>
          <w:sz w:val="22"/>
          <w:szCs w:val="22"/>
          <w:lang w:val="pt-BR"/>
        </w:rPr>
      </w:pPr>
      <w:r>
        <w:rPr>
          <w:rFonts w:eastAsia="Arial" w:cs="Arial" w:ascii="Arial" w:hAnsi="Arial"/>
          <w:color w:val="000000"/>
          <w:sz w:val="22"/>
          <w:szCs w:val="22"/>
          <w:lang w:val="pt-BR"/>
        </w:rPr>
      </w:r>
    </w:p>
    <w:p>
      <w:pPr>
        <w:pStyle w:val="LOnormal"/>
        <w:jc w:val="both"/>
        <w:rPr>
          <w:rFonts w:ascii="Arial" w:hAnsi="Arial"/>
          <w:color w:val="000000"/>
          <w:sz w:val="20"/>
          <w:szCs w:val="20"/>
          <w:lang w:val="pt-BR"/>
        </w:rPr>
      </w:pPr>
      <w:r>
        <w:rPr>
          <w:rFonts w:eastAsia="Arial" w:cs="Arial" w:ascii="Arial" w:hAnsi="Arial"/>
          <w:color w:val="000000"/>
          <w:sz w:val="22"/>
          <w:szCs w:val="22"/>
          <w:lang w:val="pt-BR"/>
        </w:rPr>
        <w:t xml:space="preserve">A quantificação da produção de forragem permite observar quais metas de manejo de altura foram mais produtivas e também aquelas que possuem em sua composição uma maior porcentagem de componentes morfológicos de interesse a produção animal, que são as folhas. Ao analisarmos os dados, pastos mantidos em lotação intermitente eram compostos por mais da metade de sua massa de forragem, por folhas, enquanto que os pastos mantidos a 20 cm apresentaram a maior presença do componente colmo e de material morto na média das massas obtidas nos quatro cortes realizados, sendo esses dois componentes quase metade da massa de forragem. Segundo TRINDADE </w:t>
      </w:r>
      <w:r>
        <w:rPr>
          <w:rFonts w:eastAsia="Arial" w:cs="Arial" w:ascii="Arial" w:hAnsi="Arial"/>
          <w:iCs/>
          <w:color w:val="000000"/>
          <w:sz w:val="22"/>
          <w:szCs w:val="22"/>
          <w:lang w:val="pt-BR"/>
        </w:rPr>
        <w:t>et al</w:t>
      </w:r>
      <w:r>
        <w:rPr>
          <w:rFonts w:eastAsia="Arial" w:cs="Arial" w:ascii="Arial" w:hAnsi="Arial"/>
          <w:i/>
          <w:iCs/>
          <w:color w:val="000000"/>
          <w:sz w:val="22"/>
          <w:szCs w:val="22"/>
          <w:lang w:val="pt-BR"/>
        </w:rPr>
        <w:t>.,</w:t>
      </w:r>
      <w:r>
        <w:rPr>
          <w:rFonts w:eastAsia="Arial" w:cs="Arial" w:ascii="Arial" w:hAnsi="Arial"/>
          <w:color w:val="000000"/>
          <w:sz w:val="22"/>
          <w:szCs w:val="22"/>
          <w:lang w:val="pt-BR"/>
        </w:rPr>
        <w:t xml:space="preserve"> (2007) a predominância de folhas verdes na massa de forragem pode ser benéfica para a qualidade da alimentação dos animais. </w:t>
      </w:r>
    </w:p>
    <w:p>
      <w:pPr>
        <w:pStyle w:val="LOnormal"/>
        <w:jc w:val="both"/>
        <w:rPr>
          <w:lang w:val="pt-BR"/>
        </w:rPr>
      </w:pPr>
      <w:r>
        <w:rPr>
          <w:lang w:val="pt-BR"/>
        </w:rPr>
      </w:r>
    </w:p>
    <w:p>
      <w:pPr>
        <w:pStyle w:val="LOnormal"/>
        <w:jc w:val="both"/>
        <w:rPr>
          <w:rFonts w:ascii="Arial" w:hAnsi="Arial"/>
          <w:color w:val="000000"/>
          <w:sz w:val="22"/>
          <w:szCs w:val="22"/>
          <w:u w:val="none" w:color="000000"/>
          <w:lang w:val="pt-BR"/>
        </w:rPr>
      </w:pPr>
      <w:r>
        <w:rPr>
          <w:rFonts w:ascii="Arial" w:hAnsi="Arial"/>
          <w:b/>
          <w:bCs/>
          <w:color w:val="000000"/>
          <w:sz w:val="22"/>
          <w:szCs w:val="22"/>
          <w:u w:val="none" w:color="000000"/>
          <w:lang w:val="pt-BR"/>
        </w:rPr>
        <w:t>Conclusão</w:t>
      </w:r>
      <w:r>
        <w:rPr>
          <w:rFonts w:ascii="Arial" w:hAnsi="Arial"/>
          <w:color w:val="000000"/>
          <w:sz w:val="22"/>
          <w:szCs w:val="22"/>
          <w:u w:val="none" w:color="000000"/>
          <w:lang w:val="pt-BR"/>
        </w:rPr>
        <w:t xml:space="preserve">: A escolha da altura de manejo deve considerar não apenas a quantidade de forragem, mas também as necessidades nutricionais dos animais em pastejo. Pastagens de trigo mantidos sob cortes simulando a lotação contínua e manejado a 20cm apresentaram a maior produção de forragem. </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color w:val="000000"/>
          <w:u w:val="none" w:color="000000"/>
          <w:lang w:val="pt-BR"/>
        </w:rPr>
      </w:pPr>
      <w:r>
        <w:rPr>
          <w:rFonts w:ascii="Arial" w:hAnsi="Arial"/>
          <w:b/>
          <w:bCs/>
          <w:color w:val="000000"/>
          <w:sz w:val="22"/>
          <w:szCs w:val="22"/>
          <w:u w:val="none" w:color="000000"/>
          <w:lang w:val="pt-BR"/>
        </w:rPr>
        <w:t xml:space="preserve">Agradecimento: </w:t>
      </w:r>
      <w:r>
        <w:rPr>
          <w:rFonts w:ascii="Arial" w:hAnsi="Arial"/>
          <w:color w:val="000000"/>
          <w:sz w:val="22"/>
          <w:szCs w:val="22"/>
          <w:lang w:val="pt-BR"/>
        </w:rPr>
        <w:t>Empresa Biotrigo Genética e Nutrição Animal e a Universidade Federal de Santa Catarina (UFSC).</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spacing w:before="0" w:after="240"/>
        <w:jc w:val="both"/>
        <w:rPr>
          <w:rFonts w:ascii="Arial" w:hAnsi="Arial"/>
          <w:b/>
          <w:b/>
          <w:bCs/>
          <w:color w:val="000000"/>
          <w:sz w:val="22"/>
          <w:szCs w:val="22"/>
          <w:u w:val="none" w:color="000000"/>
          <w:lang w:val="pt-BR"/>
        </w:rPr>
      </w:pPr>
      <w:r>
        <w:rPr>
          <w:rFonts w:ascii="Arial" w:hAnsi="Arial"/>
          <w:b/>
          <w:bCs/>
          <w:color w:val="000000"/>
          <w:sz w:val="22"/>
          <w:szCs w:val="22"/>
          <w:u w:val="none" w:color="000000"/>
          <w:lang w:val="pt-BR"/>
        </w:rPr>
        <w:t xml:space="preserve">Referências: </w:t>
      </w:r>
    </w:p>
    <w:p>
      <w:pPr>
        <w:pStyle w:val="Textbody"/>
        <w:spacing w:lineRule="auto" w:line="240" w:before="0" w:after="0"/>
        <w:rPr>
          <w:sz w:val="22"/>
          <w:szCs w:val="22"/>
        </w:rPr>
      </w:pPr>
      <w:r>
        <w:rPr>
          <w:sz w:val="22"/>
          <w:szCs w:val="22"/>
        </w:rPr>
        <w:t xml:space="preserve">COLEVATE, M. H. </w:t>
      </w:r>
      <w:r>
        <w:rPr>
          <w:bCs/>
          <w:sz w:val="22"/>
          <w:szCs w:val="22"/>
        </w:rPr>
        <w:t>Produção animal em pastagem de aveia preta mais azevém sob diferentes doses de nitrogênio e intensidades de pastejos</w:t>
      </w:r>
      <w:r>
        <w:rPr>
          <w:sz w:val="22"/>
          <w:szCs w:val="22"/>
        </w:rPr>
        <w:t>. 2015. 44 f. Tese (Doutorado) - Curso de Agronomia, Área de Agrarias, Universidade Tecnológica Federal do Paraná, Pato Branco, 2015.</w:t>
      </w:r>
    </w:p>
    <w:p>
      <w:pPr>
        <w:pStyle w:val="Textbody"/>
        <w:spacing w:lineRule="auto" w:line="240" w:before="0" w:after="0"/>
        <w:rPr>
          <w:sz w:val="22"/>
          <w:szCs w:val="22"/>
        </w:rPr>
      </w:pPr>
      <w:r>
        <w:rPr>
          <w:sz w:val="22"/>
          <w:szCs w:val="22"/>
        </w:rPr>
      </w:r>
    </w:p>
    <w:p>
      <w:pPr>
        <w:pStyle w:val="Textbody"/>
        <w:spacing w:lineRule="auto" w:line="240" w:before="0" w:after="0"/>
        <w:rPr>
          <w:sz w:val="22"/>
          <w:szCs w:val="22"/>
        </w:rPr>
      </w:pPr>
      <w:r>
        <w:rPr>
          <w:sz w:val="22"/>
          <w:szCs w:val="22"/>
        </w:rPr>
        <w:t xml:space="preserve">PIVATTO, L.; CAGNINI, A. R.; APPELT, E.; SORDI, A.; KLEIN, C.; LAJÚS, C. R.; FIOREZE, K. </w:t>
      </w:r>
      <w:r>
        <w:rPr>
          <w:bCs/>
          <w:sz w:val="22"/>
          <w:szCs w:val="22"/>
        </w:rPr>
        <w:t>Influência de cortes no trigo (</w:t>
      </w:r>
      <w:r>
        <w:rPr>
          <w:bCs/>
          <w:i/>
          <w:iCs/>
          <w:sz w:val="22"/>
          <w:szCs w:val="22"/>
        </w:rPr>
        <w:t>Triticum aestivum</w:t>
      </w:r>
      <w:r>
        <w:rPr>
          <w:bCs/>
          <w:sz w:val="22"/>
          <w:szCs w:val="22"/>
        </w:rPr>
        <w:t xml:space="preserve">) de duplo propósito ‘BRS Tarumã. </w:t>
      </w:r>
      <w:r>
        <w:rPr>
          <w:sz w:val="22"/>
          <w:szCs w:val="22"/>
        </w:rPr>
        <w:t xml:space="preserve">Nota científica, revista Agropecuária catarinense, Florianópolis, v.32, n.3, p.50-52, set./dez. 2019. Disponível em: </w:t>
      </w:r>
      <w:r>
        <w:rPr>
          <w:sz w:val="22"/>
          <w:szCs w:val="22"/>
          <w:lang w:eastAsia="pt-BR"/>
        </w:rPr>
        <w:t>http://dx.doi.org/10.22491/RAC.2019.v32n3.5. Acesso em: 14 de Set 2023.</w:t>
      </w:r>
    </w:p>
    <w:p>
      <w:pPr>
        <w:pStyle w:val="Textbody"/>
        <w:spacing w:lineRule="auto" w:line="240" w:before="0" w:after="0"/>
        <w:rPr>
          <w:sz w:val="22"/>
          <w:szCs w:val="22"/>
        </w:rPr>
      </w:pPr>
      <w:r>
        <w:rPr>
          <w:sz w:val="22"/>
          <w:szCs w:val="22"/>
        </w:rPr>
      </w:r>
    </w:p>
    <w:p>
      <w:pPr>
        <w:pStyle w:val="Textbody"/>
        <w:spacing w:lineRule="auto" w:line="240" w:before="0" w:after="0"/>
        <w:rPr>
          <w:sz w:val="22"/>
          <w:szCs w:val="22"/>
        </w:rPr>
      </w:pPr>
      <w:r>
        <w:rPr>
          <w:sz w:val="22"/>
          <w:szCs w:val="22"/>
        </w:rPr>
        <w:t xml:space="preserve">SILVA, S. C. Fundamentos para o manejo do pastejo de plantas forrageiras do gênero </w:t>
      </w:r>
      <w:r>
        <w:rPr>
          <w:i/>
          <w:iCs/>
          <w:sz w:val="22"/>
          <w:szCs w:val="22"/>
        </w:rPr>
        <w:t>Brachiaria</w:t>
      </w:r>
      <w:r>
        <w:rPr>
          <w:sz w:val="22"/>
          <w:szCs w:val="22"/>
        </w:rPr>
        <w:t xml:space="preserve"> e </w:t>
      </w:r>
      <w:r>
        <w:rPr>
          <w:i/>
          <w:iCs/>
          <w:sz w:val="22"/>
          <w:szCs w:val="22"/>
        </w:rPr>
        <w:t>Panicum</w:t>
      </w:r>
      <w:r>
        <w:rPr>
          <w:sz w:val="22"/>
          <w:szCs w:val="22"/>
        </w:rPr>
        <w:t>, In: SIMPÓSIO SOBRE MANEJO ESTRATÉGICO DA PASTAGEM, VIÇOSA EDITORA SUPREMA, p. 347-385, 2004.</w:t>
      </w:r>
    </w:p>
    <w:p>
      <w:pPr>
        <w:pStyle w:val="Textbody"/>
        <w:spacing w:lineRule="auto" w:line="240" w:before="0" w:after="0"/>
        <w:rPr>
          <w:sz w:val="22"/>
          <w:szCs w:val="22"/>
        </w:rPr>
      </w:pPr>
      <w:r>
        <w:rPr>
          <w:sz w:val="22"/>
          <w:szCs w:val="22"/>
        </w:rPr>
      </w:r>
    </w:p>
    <w:p>
      <w:pPr>
        <w:pStyle w:val="Textbody"/>
        <w:spacing w:lineRule="auto" w:line="240" w:before="0" w:after="0"/>
        <w:rPr>
          <w:sz w:val="22"/>
          <w:szCs w:val="22"/>
        </w:rPr>
      </w:pPr>
      <w:r>
        <w:rPr>
          <w:sz w:val="22"/>
          <w:szCs w:val="22"/>
        </w:rPr>
        <w:t xml:space="preserve">TRINDADE, J. K.; SILVA, S. C.; SOUZA JÚNIOR, S. J.; GIACOMINI, A. A.; ZEFERINO, C. V.; GUARDA, V. A.; CARVALHO, P. C. F. </w:t>
      </w:r>
      <w:r>
        <w:rPr>
          <w:bCs/>
          <w:sz w:val="22"/>
          <w:szCs w:val="22"/>
        </w:rPr>
        <w:t>Composição morfológica da forragem consumida por bovinos de corte durante o rebaixamento do capim-marandu submetido a estratégias de pastejo rotativo.</w:t>
      </w:r>
      <w:r>
        <w:rPr>
          <w:sz w:val="22"/>
          <w:szCs w:val="22"/>
        </w:rPr>
        <w:t xml:space="preserve"> Pesquisa Agropecuária Brasileira, Brasília, v. 42, p. 883-890, jun., 2007.</w:t>
      </w:r>
    </w:p>
    <w:p>
      <w:pPr>
        <w:pStyle w:val="Textbody"/>
        <w:spacing w:lineRule="auto" w:line="240" w:before="0" w:after="0"/>
        <w:rPr>
          <w:sz w:val="22"/>
          <w:szCs w:val="22"/>
        </w:rPr>
      </w:pPr>
      <w:r>
        <w:rPr>
          <w:sz w:val="22"/>
          <w:szCs w:val="22"/>
        </w:rPr>
      </w:r>
    </w:p>
    <w:p>
      <w:pPr>
        <w:pStyle w:val="Textbody"/>
        <w:spacing w:lineRule="auto" w:line="240"/>
        <w:rPr>
          <w:sz w:val="22"/>
          <w:szCs w:val="22"/>
        </w:rPr>
      </w:pPr>
      <w:r>
        <w:rPr>
          <w:sz w:val="22"/>
          <w:szCs w:val="22"/>
        </w:rPr>
        <w:t xml:space="preserve">ZILIO, M.; PELOSO, J. A.; MANTOVANI, A. </w:t>
      </w:r>
      <w:r>
        <w:rPr>
          <w:bCs/>
          <w:sz w:val="22"/>
          <w:szCs w:val="22"/>
        </w:rPr>
        <w:t xml:space="preserve">Produção de forragem e de grãos de trigo de duplo propósito submetido a diferentes densidades de semeadura, adubação nitrogenada e manejos de corte. </w:t>
      </w:r>
      <w:r>
        <w:rPr>
          <w:sz w:val="22"/>
          <w:szCs w:val="22"/>
          <w:lang w:val="en-US"/>
        </w:rPr>
        <w:t xml:space="preserve">Revista de Ciências Agroveterinárias, Lages, v.16, n.4, p.367-375, 2017. </w:t>
      </w:r>
    </w:p>
    <w:p>
      <w:pPr>
        <w:pStyle w:val="LOnormal"/>
        <w:spacing w:lineRule="auto" w:line="276" w:before="0" w:after="140"/>
        <w:ind w:right="284" w:hanging="0"/>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ind w:right="284" w:hanging="0"/>
        <w:jc w:val="both"/>
        <w:rPr>
          <w:lang w:val="pt-BR"/>
        </w:rPr>
      </w:pPr>
      <w:r>
        <w:rPr/>
      </w:r>
    </w:p>
    <w:sectPr>
      <w:headerReference w:type="default" r:id="rId3"/>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ambria">
    <w:charset w:val="00"/>
    <w:family w:val="roman"/>
    <w:pitch w:val="variable"/>
  </w:font>
  <w:font w:name="Helvetica Neue">
    <w:charset w:val="00"/>
    <w:family w:val="roman"/>
    <w:pitch w:val="variable"/>
  </w:font>
  <w:font w:name="Arial">
    <w:charset w:val="00"/>
    <w:family w:val="roman"/>
    <w:pitch w:val="variable"/>
  </w:font>
  <w:font w:name="Segoe UI">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rPr/>
    </w:pPr>
    <w:r>
      <w:rPr/>
      <w:drawing>
        <wp:anchor behindDoc="0" distT="0" distB="152400" distL="152400" distR="152400" simplePos="0" locked="0" layoutInCell="0" allowOverlap="1" relativeHeight="4">
          <wp:simplePos x="0" y="0"/>
          <wp:positionH relativeFrom="page">
            <wp:align>right</wp:align>
          </wp:positionH>
          <wp:positionV relativeFrom="page">
            <wp:align>top</wp:align>
          </wp:positionV>
          <wp:extent cx="7556500" cy="1115060"/>
          <wp:effectExtent l="0" t="0" r="0" b="0"/>
          <wp:wrapTopAndBottom/>
          <wp:docPr id="1" name="officeArt object"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Cabeçalho SBSS-02.jpg"/>
                  <pic:cNvPicPr>
                    <a:picLocks noChangeAspect="1" noChangeArrowheads="1"/>
                  </pic:cNvPicPr>
                </pic:nvPicPr>
                <pic:blipFill>
                  <a:blip r:embed="rId1"/>
                  <a:stretch>
                    <a:fillRect/>
                  </a:stretch>
                </pic:blipFill>
                <pic:spPr bwMode="auto">
                  <a:xfrm>
                    <a:off x="0" y="0"/>
                    <a:ext cx="7556500" cy="1115060"/>
                  </a:xfrm>
                  <a:prstGeom prst="rect">
                    <a:avLst/>
                  </a:prstGeom>
                </pic:spPr>
              </pic:pic>
            </a:graphicData>
          </a:graphic>
        </wp:anchor>
      </w:drawing>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false"/>
      <w:bidi w:val="0"/>
      <w:spacing w:before="0" w:after="0"/>
      <w:jc w:val="left"/>
    </w:pPr>
    <w:rPr>
      <w:rFonts w:ascii="Times New Roman" w:hAnsi="Times New Roman" w:eastAsia="Arial Unicode MS" w:cs="Times New Roman"/>
      <w:color w:val="auto"/>
      <w:kern w:val="0"/>
      <w:sz w:val="24"/>
      <w:szCs w:val="24"/>
      <w:lang w:eastAsia="en-US" w:val="pt-BR" w:bidi="ar-SA"/>
    </w:rPr>
  </w:style>
  <w:style w:type="character" w:styleId="DefaultParagraphFont" w:default="1">
    <w:name w:val="Default Paragraph Font"/>
    <w:uiPriority w:val="1"/>
    <w:semiHidden/>
    <w:unhideWhenUsed/>
    <w:qFormat/>
    <w:rPr/>
  </w:style>
  <w:style w:type="character" w:styleId="LinkdaInternet">
    <w:name w:val="Link da Internet"/>
    <w:rsid w:val="005362f8"/>
    <w:rPr>
      <w:u w:val="single"/>
    </w:rPr>
  </w:style>
  <w:style w:type="character" w:styleId="CabealhoChar" w:customStyle="1">
    <w:name w:val="Cabeçalho Char"/>
    <w:basedOn w:val="DefaultParagraphFont"/>
    <w:uiPriority w:val="99"/>
    <w:qFormat/>
    <w:rsid w:val="00df0151"/>
    <w:rPr>
      <w:sz w:val="24"/>
      <w:szCs w:val="24"/>
      <w:lang w:val="en-US" w:eastAsia="en-US"/>
    </w:rPr>
  </w:style>
  <w:style w:type="character" w:styleId="RodapChar" w:customStyle="1">
    <w:name w:val="Rodapé Char"/>
    <w:basedOn w:val="DefaultParagraphFont"/>
    <w:uiPriority w:val="99"/>
    <w:qFormat/>
    <w:rsid w:val="00df0151"/>
    <w:rPr>
      <w:sz w:val="24"/>
      <w:szCs w:val="24"/>
      <w:lang w:val="en-US" w:eastAsia="en-US"/>
    </w:rPr>
  </w:style>
  <w:style w:type="character" w:styleId="TextodebaloChar" w:customStyle="1">
    <w:name w:val="Texto de balão Char"/>
    <w:basedOn w:val="DefaultParagraphFont"/>
    <w:link w:val="BalloonText"/>
    <w:uiPriority w:val="99"/>
    <w:semiHidden/>
    <w:qFormat/>
    <w:rsid w:val="00a739ba"/>
    <w:rPr>
      <w:rFonts w:ascii="Tahoma" w:hAnsi="Tahoma" w:cs="Tahoma"/>
      <w:sz w:val="16"/>
      <w:szCs w:val="16"/>
      <w:lang w:val="en-US" w:eastAsia="en-US"/>
    </w:rPr>
  </w:style>
  <w:style w:type="character" w:styleId="Annotationreference">
    <w:name w:val="annotation reference"/>
    <w:basedOn w:val="DefaultParagraphFont"/>
    <w:uiPriority w:val="99"/>
    <w:semiHidden/>
    <w:unhideWhenUsed/>
    <w:qFormat/>
    <w:rsid w:val="00a739ba"/>
    <w:rPr>
      <w:sz w:val="16"/>
      <w:szCs w:val="16"/>
    </w:rPr>
  </w:style>
  <w:style w:type="character" w:styleId="TextodecomentrioChar" w:customStyle="1">
    <w:name w:val="Texto de comentário Char"/>
    <w:basedOn w:val="DefaultParagraphFont"/>
    <w:link w:val="Annotationtext"/>
    <w:uiPriority w:val="99"/>
    <w:semiHidden/>
    <w:qFormat/>
    <w:rsid w:val="00a739ba"/>
    <w:rPr>
      <w:lang w:val="en-US" w:eastAsia="en-US"/>
    </w:rPr>
  </w:style>
  <w:style w:type="character" w:styleId="AssuntodocomentrioChar" w:customStyle="1">
    <w:name w:val="Assunto do comentário Char"/>
    <w:basedOn w:val="TextodecomentrioChar"/>
    <w:link w:val="Annotationsubject"/>
    <w:uiPriority w:val="99"/>
    <w:semiHidden/>
    <w:qFormat/>
    <w:rsid w:val="00a739ba"/>
    <w:rPr>
      <w:b/>
      <w:bCs/>
      <w:lang w:val="en-US" w:eastAsia="en-US"/>
    </w:rPr>
  </w:style>
  <w:style w:type="character" w:styleId="MenoPendente1" w:customStyle="1">
    <w:name w:val="Menção Pendente1"/>
    <w:basedOn w:val="DefaultParagraphFont"/>
    <w:uiPriority w:val="99"/>
    <w:semiHidden/>
    <w:unhideWhenUsed/>
    <w:qFormat/>
    <w:rsid w:val="000f0043"/>
    <w:rPr>
      <w:color w:val="605E5C"/>
      <w:shd w:fill="E1DFDD" w:val="clear"/>
    </w:rPr>
  </w:style>
  <w:style w:type="character" w:styleId="MenoPendente2" w:customStyle="1">
    <w:name w:val="Menção Pendente2"/>
    <w:basedOn w:val="DefaultParagraphFont"/>
    <w:uiPriority w:val="99"/>
    <w:semiHidden/>
    <w:unhideWhenUsed/>
    <w:qFormat/>
    <w:rsid w:val="00c25eb6"/>
    <w:rPr>
      <w:color w:val="605E5C"/>
      <w:shd w:fill="E1DFDD" w:val="clear"/>
    </w:rPr>
  </w:style>
  <w:style w:type="character" w:styleId="Strong">
    <w:name w:val="Strong"/>
    <w:basedOn w:val="DefaultParagraphFont"/>
    <w:uiPriority w:val="22"/>
    <w:qFormat/>
    <w:rsid w:val="0018585f"/>
    <w:rPr>
      <w:b/>
      <w:bC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rPr>
  </w:style>
  <w:style w:type="paragraph" w:styleId="LOnormal" w:customStyle="1">
    <w:name w:val="LO-normal"/>
    <w:qFormat/>
    <w:pPr>
      <w:widowControl/>
      <w:suppressAutoHyphens w:val="true"/>
      <w:bidi w:val="0"/>
      <w:spacing w:before="0" w:after="0"/>
      <w:jc w:val="left"/>
    </w:pPr>
    <w:rPr>
      <w:rFonts w:ascii="Cambria" w:hAnsi="Cambria" w:cs="Arial Unicode MS" w:eastAsia="Arial Unicode MS"/>
      <w:color w:val="00000A"/>
      <w:kern w:val="0"/>
      <w:sz w:val="24"/>
      <w:szCs w:val="24"/>
      <w:u w:val="none" w:color="00000A"/>
      <w:lang w:val="en-US" w:eastAsia="pt-BR" w:bidi="ar-SA"/>
    </w:rPr>
  </w:style>
  <w:style w:type="paragraph" w:styleId="CabealhoeRodap" w:customStyle="1">
    <w:name w:val="Cabeçalho e Rodapé"/>
    <w:qFormat/>
    <w:pPr>
      <w:widowControl/>
      <w:tabs>
        <w:tab w:val="clear" w:pos="720"/>
        <w:tab w:val="right" w:pos="9020" w:leader="none"/>
      </w:tabs>
      <w:suppressAutoHyphens w:val="true"/>
      <w:bidi w:val="0"/>
      <w:spacing w:before="0" w:after="0"/>
      <w:jc w:val="left"/>
    </w:pPr>
    <w:rPr>
      <w:rFonts w:ascii="Helvetica Neue" w:hAnsi="Helvetica Neue" w:cs="Arial Unicode MS" w:eastAsia="Arial Unicode MS"/>
      <w:color w:val="000000"/>
      <w:kern w:val="0"/>
      <w:sz w:val="24"/>
      <w:szCs w:val="24"/>
      <w:lang w:val="pt-BR" w:eastAsia="pt-BR" w:bidi="ar-SA"/>
      <w14:textOutline w14:w="0" w14:cap="flat" w14:cmpd="sng" w14:algn="ctr">
        <w14:noFill/>
        <w14:prstDash w14:val="solid"/>
        <w14:bevel/>
      </w14:textOutline>
    </w:rPr>
  </w:style>
  <w:style w:type="paragraph" w:styleId="NormalWeb">
    <w:name w:val="Normal (Web)"/>
    <w:basedOn w:val="Normal"/>
    <w:uiPriority w:val="99"/>
    <w:semiHidden/>
    <w:unhideWhenUsed/>
    <w:qFormat/>
    <w:rsid w:val="00df0151"/>
    <w:pPr/>
    <w:rPr/>
  </w:style>
  <w:style w:type="paragraph" w:styleId="Cabealho">
    <w:name w:val="Header"/>
    <w:basedOn w:val="Normal"/>
    <w:link w:val="CabealhoChar"/>
    <w:uiPriority w:val="99"/>
    <w:unhideWhenUsed/>
    <w:rsid w:val="00df0151"/>
    <w:pPr>
      <w:tabs>
        <w:tab w:val="clear" w:pos="720"/>
        <w:tab w:val="center" w:pos="4252" w:leader="none"/>
        <w:tab w:val="right" w:pos="8504" w:leader="none"/>
      </w:tabs>
    </w:pPr>
    <w:rPr/>
  </w:style>
  <w:style w:type="paragraph" w:styleId="Rodap">
    <w:name w:val="Footer"/>
    <w:basedOn w:val="Normal"/>
    <w:link w:val="RodapChar"/>
    <w:uiPriority w:val="99"/>
    <w:unhideWhenUsed/>
    <w:rsid w:val="00df0151"/>
    <w:pPr>
      <w:tabs>
        <w:tab w:val="clear" w:pos="720"/>
        <w:tab w:val="center" w:pos="4252" w:leader="none"/>
        <w:tab w:val="right" w:pos="8504" w:leader="none"/>
      </w:tabs>
    </w:pPr>
    <w:rPr/>
  </w:style>
  <w:style w:type="paragraph" w:styleId="Textbody" w:customStyle="1">
    <w:name w:val="Text body"/>
    <w:basedOn w:val="Normal"/>
    <w:qFormat/>
    <w:rsid w:val="00df0151"/>
    <w:pPr>
      <w:suppressAutoHyphens w:val="true"/>
      <w:spacing w:lineRule="auto" w:line="360" w:before="0" w:after="120"/>
      <w:jc w:val="both"/>
      <w:textAlignment w:val="baseline"/>
    </w:pPr>
    <w:rPr>
      <w:rFonts w:ascii="Arial" w:hAnsi="Arial" w:eastAsia="SimSun" w:cs="Arial"/>
      <w:kern w:val="2"/>
    </w:rPr>
  </w:style>
  <w:style w:type="paragraph" w:styleId="BalloonText">
    <w:name w:val="Balloon Text"/>
    <w:basedOn w:val="Normal"/>
    <w:link w:val="TextodebaloChar"/>
    <w:uiPriority w:val="99"/>
    <w:semiHidden/>
    <w:unhideWhenUsed/>
    <w:qFormat/>
    <w:rsid w:val="00a739ba"/>
    <w:pPr/>
    <w:rPr>
      <w:rFonts w:ascii="Tahoma" w:hAnsi="Tahoma" w:cs="Tahoma"/>
      <w:sz w:val="16"/>
      <w:szCs w:val="16"/>
    </w:rPr>
  </w:style>
  <w:style w:type="paragraph" w:styleId="Annotationtext">
    <w:name w:val="annotation text"/>
    <w:basedOn w:val="Normal"/>
    <w:link w:val="TextodecomentrioChar"/>
    <w:uiPriority w:val="99"/>
    <w:semiHidden/>
    <w:unhideWhenUsed/>
    <w:qFormat/>
    <w:rsid w:val="00a739ba"/>
    <w:pPr/>
    <w:rPr>
      <w:sz w:val="20"/>
      <w:szCs w:val="20"/>
    </w:rPr>
  </w:style>
  <w:style w:type="paragraph" w:styleId="Annotationsubject">
    <w:name w:val="annotation subject"/>
    <w:basedOn w:val="Annotationtext"/>
    <w:next w:val="Annotationtext"/>
    <w:link w:val="AssuntodocomentrioChar"/>
    <w:uiPriority w:val="99"/>
    <w:semiHidden/>
    <w:unhideWhenUsed/>
    <w:qFormat/>
    <w:rsid w:val="00a739ba"/>
    <w:pPr/>
    <w:rPr>
      <w:b/>
      <w:bCs/>
    </w:rPr>
  </w:style>
  <w:style w:type="paragraph" w:styleId="Revision">
    <w:name w:val="Revision"/>
    <w:uiPriority w:val="99"/>
    <w:semiHidden/>
    <w:qFormat/>
    <w:rsid w:val="00661e5b"/>
    <w:pPr>
      <w:widowControl/>
      <w:suppressAutoHyphens w:val="true"/>
      <w:bidi w:val="0"/>
      <w:spacing w:before="0" w:after="0"/>
      <w:jc w:val="left"/>
    </w:pPr>
    <w:rPr>
      <w:rFonts w:ascii="Times New Roman" w:hAnsi="Times New Roman" w:eastAsia="Arial Unicode MS" w:cs="Times New Roman"/>
      <w:color w:val="auto"/>
      <w:kern w:val="0"/>
      <w:sz w:val="24"/>
      <w:szCs w:val="24"/>
      <w:lang w:val="en-US"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styleId="Tabelacomgrade">
    <w:name w:val="Table Grid"/>
    <w:basedOn w:val="Tabelanormal"/>
    <w:uiPriority w:val="59"/>
    <w:rsid w:val="0038115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1">
    <w:name w:val="Table Normal1"/>
    <w:rsid w:val="006468da"/>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leversonandersonn@gmail.com" TargetMode="External"/><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Application>LibreOffice/7.3.2.2$Windows_X86_64 LibreOffice_project/49f2b1bff42cfccbd8f788c8dc32c1c309559be0</Application>
  <AppVersion>15.0000</AppVersion>
  <Pages>2</Pages>
  <Words>1524</Words>
  <Characters>8253</Characters>
  <CharactersWithSpaces>9719</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2023-10-05T19:17:00Z</dcterms:created>
  <dc:creator>Kelen Cristina Basso</dc:creator>
  <dc:description/>
  <dc:language>pt-BR</dc:language>
  <cp:lastModifiedBy>cleversonandersonn@gmail.com</cp:lastModifiedBy>
  <dcterms:modified xsi:type="dcterms:W3CDTF">2023-10-07T20:44:00Z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