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pBdr/>
        <w:spacing w:lineRule="auto" w:line="276"/>
        <w:ind w:right="280" w:hanging="0"/>
        <w:jc w:val="center"/>
        <w:rPr/>
      </w:pPr>
      <w:r>
        <w:rPr>
          <w:rFonts w:eastAsia="Arial" w:cs="Arial" w:ascii="Arial" w:hAnsi="Arial"/>
          <w:b/>
          <w:sz w:val="28"/>
          <w:szCs w:val="28"/>
        </w:rPr>
        <w:t>COMPOSIÇÃO BROMATOLÓGICA DE SILAGEM DE GRÃO DE MILHO REIDRATADA COM ÁGUA E/OU SORO DE LEITE</w:t>
      </w:r>
    </w:p>
    <w:p>
      <w:pPr>
        <w:pStyle w:val="Normal"/>
        <w:pBdr/>
        <w:spacing w:lineRule="auto" w:line="276"/>
        <w:ind w:right="280" w:hanging="0"/>
        <w:jc w:val="center"/>
        <w:rPr>
          <w:rFonts w:ascii="Arial" w:hAnsi="Arial" w:eastAsia="Arial" w:cs="Arial"/>
          <w:b/>
          <w:b/>
          <w:color w:val="000000"/>
          <w:sz w:val="22"/>
          <w:szCs w:val="22"/>
          <w:u w:val="single"/>
        </w:rPr>
      </w:pPr>
      <w:r>
        <w:rPr/>
      </w:r>
    </w:p>
    <w:p>
      <w:pPr>
        <w:pStyle w:val="Normal"/>
        <w:pBdr/>
        <w:spacing w:lineRule="auto" w:line="240"/>
        <w:ind w:right="280" w:hanging="0"/>
        <w:jc w:val="center"/>
        <w:rPr/>
      </w:pPr>
      <w:r>
        <w:rPr>
          <w:rFonts w:eastAsia="Arial" w:cs="Arial" w:ascii="Arial" w:hAnsi="Arial"/>
          <w:sz w:val="20"/>
          <w:szCs w:val="20"/>
          <w:u w:val="single"/>
        </w:rPr>
        <w:t>Stephanie Beatriz Becker Liberatto</w:t>
      </w:r>
      <w:r>
        <w:rPr>
          <w:rFonts w:eastAsia="Arial" w:cs="Arial" w:ascii="Arial" w:hAnsi="Arial"/>
          <w:color w:val="000000"/>
          <w:sz w:val="20"/>
          <w:szCs w:val="20"/>
          <w:vertAlign w:val="superscript"/>
        </w:rPr>
        <w:t>1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, </w:t>
      </w:r>
      <w:r>
        <w:rPr>
          <w:rFonts w:eastAsia="Arial" w:cs="Arial" w:ascii="Arial" w:hAnsi="Arial"/>
          <w:sz w:val="20"/>
          <w:szCs w:val="20"/>
        </w:rPr>
        <w:t>Diego Peres Netto</w:t>
      </w:r>
      <w:r>
        <w:rPr>
          <w:rFonts w:eastAsia="Arial" w:cs="Arial" w:ascii="Arial" w:hAnsi="Arial"/>
          <w:sz w:val="20"/>
          <w:szCs w:val="20"/>
          <w:vertAlign w:val="superscript"/>
        </w:rPr>
        <w:t>2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, </w:t>
      </w:r>
      <w:r>
        <w:rPr>
          <w:rFonts w:eastAsia="Arial" w:cs="Arial" w:ascii="Arial" w:hAnsi="Arial"/>
          <w:sz w:val="20"/>
          <w:szCs w:val="20"/>
        </w:rPr>
        <w:t>Milene Puntel Osmari</w:t>
      </w:r>
      <w:r>
        <w:rPr>
          <w:rFonts w:eastAsia="Arial" w:cs="Arial" w:ascii="Arial" w:hAnsi="Arial"/>
          <w:color w:val="000000"/>
          <w:sz w:val="20"/>
          <w:szCs w:val="20"/>
          <w:vertAlign w:val="superscript"/>
        </w:rPr>
        <w:t>2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</w:t>
      </w:r>
    </w:p>
    <w:p>
      <w:pPr>
        <w:pStyle w:val="Normal"/>
        <w:pBdr/>
        <w:spacing w:lineRule="auto" w:line="240"/>
        <w:ind w:right="280" w:hanging="0"/>
        <w:jc w:val="center"/>
        <w:rPr>
          <w:rFonts w:ascii="Arial" w:hAnsi="Arial" w:eastAsia="Arial" w:cs="Arial"/>
          <w:color w:val="000000"/>
          <w:sz w:val="20"/>
          <w:szCs w:val="20"/>
          <w:vertAlign w:val="superscript"/>
        </w:rPr>
      </w:pPr>
      <w:r>
        <w:rPr/>
      </w:r>
    </w:p>
    <w:p>
      <w:pPr>
        <w:pStyle w:val="Normal"/>
        <w:pBdr/>
        <w:spacing w:lineRule="auto" w:line="240"/>
        <w:ind w:right="280" w:hanging="0"/>
        <w:jc w:val="center"/>
        <w:rPr/>
      </w:pPr>
      <w:r>
        <w:rPr>
          <w:rFonts w:eastAsia="Arial" w:cs="Arial" w:ascii="Arial" w:hAnsi="Arial"/>
          <w:color w:val="000000"/>
          <w:sz w:val="20"/>
          <w:szCs w:val="20"/>
          <w:vertAlign w:val="superscript"/>
        </w:rPr>
        <w:t>1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</w:t>
      </w:r>
      <w:r>
        <w:rPr>
          <w:rFonts w:eastAsia="Arial" w:cs="Arial" w:ascii="Arial" w:hAnsi="Arial"/>
          <w:sz w:val="20"/>
          <w:szCs w:val="20"/>
        </w:rPr>
        <w:t>Estudante de graduação em Zootecnia - UFSC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, </w:t>
      </w:r>
      <w:r>
        <w:rPr>
          <w:rFonts w:eastAsia="Arial" w:cs="Arial" w:ascii="Arial" w:hAnsi="Arial"/>
          <w:color w:val="000000"/>
          <w:sz w:val="20"/>
          <w:szCs w:val="20"/>
          <w:vertAlign w:val="superscript"/>
        </w:rPr>
        <w:t>2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</w:t>
      </w:r>
      <w:r>
        <w:rPr>
          <w:rFonts w:eastAsia="Arial" w:cs="Arial" w:ascii="Arial" w:hAnsi="Arial"/>
          <w:sz w:val="20"/>
          <w:szCs w:val="20"/>
        </w:rPr>
        <w:t>Docente do Departamento de Zootecnia e Desenvolvimento Rural - UFSC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, E-mail: </w:t>
      </w:r>
      <w:hyperlink r:id="rId3">
        <w:r>
          <w:rPr>
            <w:rStyle w:val="LinkdaInternet"/>
            <w:rFonts w:eastAsia="Arial" w:cs="Arial" w:ascii="Arial" w:hAnsi="Arial"/>
            <w:sz w:val="20"/>
            <w:szCs w:val="20"/>
          </w:rPr>
          <w:t>liberatto.stephanie@gmail.com</w:t>
        </w:r>
      </w:hyperlink>
    </w:p>
    <w:p>
      <w:pPr>
        <w:pStyle w:val="Normal"/>
        <w:pBdr/>
        <w:spacing w:lineRule="auto" w:line="240"/>
        <w:ind w:right="280" w:hanging="0"/>
        <w:jc w:val="center"/>
        <w:rPr>
          <w:rFonts w:ascii="Arial" w:hAnsi="Arial" w:eastAsia="Arial" w:cs="Arial"/>
          <w:b/>
          <w:b/>
          <w:color w:val="000000"/>
          <w:sz w:val="20"/>
          <w:szCs w:val="20"/>
          <w:lang w:val="pt-BR"/>
        </w:rPr>
      </w:pPr>
      <w:r>
        <w:rPr/>
      </w:r>
    </w:p>
    <w:p>
      <w:pPr>
        <w:pStyle w:val="Normal"/>
        <w:pBdr/>
        <w:spacing w:lineRule="auto" w:line="240"/>
        <w:ind w:right="280" w:hanging="0"/>
        <w:jc w:val="both"/>
        <w:rPr/>
      </w:pPr>
      <w:r>
        <w:rPr>
          <w:rFonts w:eastAsia="Arial" w:cs="Arial" w:ascii="Arial" w:hAnsi="Arial"/>
          <w:b/>
          <w:color w:val="000000"/>
          <w:sz w:val="22"/>
          <w:szCs w:val="22"/>
          <w:lang w:val="pt-BR"/>
        </w:rPr>
        <w:t>Contribuição para a sociedade</w:t>
      </w:r>
      <w:r>
        <w:rPr>
          <w:rFonts w:eastAsia="Arial" w:cs="Arial" w:ascii="Arial" w:hAnsi="Arial"/>
          <w:color w:val="000000"/>
          <w:sz w:val="22"/>
          <w:szCs w:val="22"/>
          <w:lang w:val="pt-BR"/>
        </w:rPr>
        <w:t xml:space="preserve">: </w:t>
      </w:r>
      <w:r>
        <w:rPr>
          <w:rFonts w:eastAsia="Arial" w:cs="Arial" w:ascii="Arial" w:hAnsi="Arial"/>
          <w:sz w:val="22"/>
          <w:szCs w:val="22"/>
          <w:lang w:val="pt-BR"/>
        </w:rPr>
        <w:t>A ensilagem de grão de milho reidratado com água é utilizada para favorecer o perfil da fermentação do material. Todavia, a estratégia de reidratação de grão de milho pode ser utilizada com diferentes fontes, uma delas é o soro de leite, subproduto de laticínios. O seu uso pode agregar valor à composição química da silagem e melhorar o perfil fermentativo, além de ser uma alternativa ao seu descarte, que quando feito inadequadamente prejudica o meio ambiente. Assim, o estudo visa determinar a composição bromatológica da silagem com uso do soro de leite e água, investigando sua viabilidade e potencial de inclusão na nutrição animal.</w:t>
      </w:r>
    </w:p>
    <w:p>
      <w:pPr>
        <w:pStyle w:val="Normal"/>
        <w:pBdr/>
        <w:spacing w:lineRule="auto" w:line="240"/>
        <w:ind w:right="280" w:hanging="0"/>
        <w:jc w:val="both"/>
        <w:rPr>
          <w:rFonts w:ascii="Arial" w:hAnsi="Arial" w:eastAsia="Arial" w:cs="Arial"/>
          <w:b/>
          <w:b/>
          <w:color w:val="000000"/>
          <w:sz w:val="22"/>
          <w:szCs w:val="22"/>
          <w:lang w:val="pt-BR"/>
        </w:rPr>
      </w:pPr>
      <w:r>
        <w:rPr/>
      </w:r>
    </w:p>
    <w:p>
      <w:pPr>
        <w:pStyle w:val="Normal"/>
        <w:pBdr/>
        <w:spacing w:lineRule="auto" w:line="240"/>
        <w:ind w:right="280" w:hanging="0"/>
        <w:jc w:val="both"/>
        <w:rPr/>
      </w:pPr>
      <w:r>
        <w:rPr>
          <w:rFonts w:eastAsia="Arial" w:cs="Arial" w:ascii="Arial" w:hAnsi="Arial"/>
          <w:b/>
          <w:color w:val="000000"/>
          <w:sz w:val="22"/>
          <w:szCs w:val="22"/>
          <w:lang w:val="pt-BR"/>
        </w:rPr>
        <w:t>Palavras-chave</w:t>
      </w:r>
      <w:r>
        <w:rPr>
          <w:rFonts w:eastAsia="Arial" w:cs="Arial" w:ascii="Arial" w:hAnsi="Arial"/>
          <w:color w:val="000000"/>
          <w:sz w:val="22"/>
          <w:szCs w:val="22"/>
          <w:lang w:val="pt-BR"/>
        </w:rPr>
        <w:t xml:space="preserve">: </w:t>
      </w:r>
      <w:r>
        <w:rPr>
          <w:rFonts w:eastAsia="Arial" w:cs="Arial" w:ascii="Arial" w:hAnsi="Arial"/>
          <w:sz w:val="22"/>
          <w:szCs w:val="22"/>
          <w:lang w:val="pt-BR"/>
        </w:rPr>
        <w:t>reidratação, silagem de grão úmido, nutrição animal</w:t>
      </w:r>
      <w:r>
        <w:rPr>
          <w:rFonts w:eastAsia="Arial" w:cs="Arial" w:ascii="Arial" w:hAnsi="Arial"/>
          <w:color w:val="000000"/>
          <w:sz w:val="22"/>
          <w:szCs w:val="22"/>
          <w:lang w:val="pt-BR"/>
        </w:rPr>
        <w:t>.</w:t>
      </w:r>
    </w:p>
    <w:p>
      <w:pPr>
        <w:pStyle w:val="Normal"/>
        <w:pBdr/>
        <w:spacing w:lineRule="auto" w:line="240"/>
        <w:ind w:right="280" w:hanging="0"/>
        <w:jc w:val="both"/>
        <w:rPr>
          <w:rFonts w:ascii="Arial" w:hAnsi="Arial" w:eastAsia="Arial" w:cs="Arial"/>
          <w:b/>
          <w:b/>
          <w:color w:val="000000"/>
          <w:sz w:val="22"/>
          <w:szCs w:val="22"/>
          <w:lang w:val="pt-BR"/>
        </w:rPr>
      </w:pPr>
      <w:r>
        <w:rPr/>
      </w:r>
    </w:p>
    <w:p>
      <w:pPr>
        <w:pStyle w:val="Normal"/>
        <w:pBdr/>
        <w:spacing w:lineRule="auto" w:line="240"/>
        <w:ind w:right="280" w:hanging="0"/>
        <w:jc w:val="both"/>
        <w:rPr/>
      </w:pPr>
      <w:r>
        <w:rPr>
          <w:rFonts w:eastAsia="Arial" w:cs="Arial" w:ascii="Arial" w:hAnsi="Arial"/>
          <w:b/>
          <w:color w:val="000000"/>
          <w:sz w:val="22"/>
          <w:szCs w:val="22"/>
          <w:lang w:val="pt-BR"/>
        </w:rPr>
        <w:t xml:space="preserve">Introdução: </w:t>
      </w:r>
      <w:r>
        <w:rPr>
          <w:rFonts w:eastAsia="Arial" w:cs="Arial" w:ascii="Arial" w:hAnsi="Arial"/>
          <w:sz w:val="22"/>
          <w:szCs w:val="22"/>
          <w:lang w:val="pt-BR"/>
        </w:rPr>
        <w:t xml:space="preserve">A ensilagem é uma estratégia de conservação utilizada por produtores para garantir alimento em momentos suscetíveis à escassez. Dentre os grãos comumente utilizados, o grão de milho se destaca devido a sua grande disponibilidade no mercado e elevado valor nutritivo. O soro de leite é um subproduto da indústria de laticínios causador de diversos danos ambientais quando descartado incorretamente (FAUSTINO et al., 2018), e uma das formas de aproveitamento do mesmo é utilizá-lo na nutrição animal, através da reidratação de grãos. Esta pode ser realizada com diversas fontes, sendo a mais comum a água, assim, essa técnica permite agregar qualitativamente o padrão fermentativo e composição bromatológica da silagem, melhorando a digestibilidade dos nutrientes (ÁVILA et al., 2019). Esse processamento envolveu a adição do soro de leite e/ou água ao substrato, o grão de milho moído. Desta forma, o teor de umidade aumenta até que atinja em torno de 35%, contribuindo para minimizar a ação de microrganismos indesejáveis (MOMBACH et al., 2019). Assim, o presente trabalho objetiva avaliar o potencial do uso de soro de leite na ensilagem de grão de milho reidratado. </w:t>
      </w:r>
    </w:p>
    <w:p>
      <w:pPr>
        <w:pStyle w:val="Normal"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  <w:lang w:val="pt-BR"/>
        </w:rPr>
      </w:r>
    </w:p>
    <w:p>
      <w:pPr>
        <w:pStyle w:val="Normal"/>
        <w:jc w:val="both"/>
        <w:rPr>
          <w:rFonts w:ascii="Arial" w:hAnsi="Arial" w:eastAsia="Arial" w:cs="Arial"/>
          <w:sz w:val="22"/>
          <w:szCs w:val="22"/>
          <w:lang w:val="pt-BR"/>
        </w:rPr>
      </w:pPr>
      <w:bookmarkStart w:id="0" w:name="_heading=h.gjdgxs"/>
      <w:bookmarkEnd w:id="0"/>
      <w:r>
        <w:rPr>
          <w:rFonts w:eastAsia="Arial" w:cs="Arial" w:ascii="Arial" w:hAnsi="Arial"/>
          <w:b/>
          <w:color w:val="000000"/>
          <w:sz w:val="22"/>
          <w:szCs w:val="22"/>
          <w:lang w:val="pt-BR"/>
        </w:rPr>
        <w:t>Material e métodos:</w:t>
      </w:r>
      <w:r>
        <w:rPr>
          <w:rFonts w:eastAsia="Arial" w:cs="Arial" w:ascii="Arial" w:hAnsi="Arial"/>
          <w:color w:val="000000"/>
          <w:sz w:val="22"/>
          <w:szCs w:val="22"/>
          <w:lang w:val="pt-BR"/>
        </w:rPr>
        <w:t xml:space="preserve"> </w:t>
      </w:r>
      <w:r>
        <w:rPr>
          <w:rFonts w:eastAsia="Arial" w:cs="Arial" w:ascii="Arial" w:hAnsi="Arial"/>
          <w:sz w:val="22"/>
          <w:szCs w:val="22"/>
          <w:lang w:val="pt-BR"/>
        </w:rPr>
        <w:t>O experimento foi realizado na Universidade Federal de Santa Catarina (UFSC), os grãos de milho inteiro e soro de leite foram obtidos na região da Grande Florianópolis, sendo que os grãos foram moídos em moinho estacionário usando peneira de 2 mm. Após a moagem do milho, hidratação e homogeneização do material realizou-se o processo de ensilagem do material. A matéria seca (MS), necessária para o cálculo do volume de líquido a ser adicionado para a reidratação foi estimada em forno micro-ondas. Os tratamentos avaliados foram: silagem de grão de milho moído reidratado com água (AG) até atingir 35% de umidade; silagem de grão de milho moído reidratado com soro de leite (SL) até atingir 35% de umidade e silagem de grão de milho moído reidratado com AG (50%) + SL (50%) até atingir 35% de umidade. A ensilagem ocorreu em silos experimentais confeccionados com tubos de PVC com capacidade de 10 kg de massa ensilada e densidade de compactação de 1000 kg/m</w:t>
      </w:r>
      <w:r>
        <w:rPr>
          <w:rFonts w:eastAsia="Arial" w:cs="Arial" w:ascii="Arial" w:hAnsi="Arial"/>
          <w:sz w:val="22"/>
          <w:szCs w:val="22"/>
          <w:vertAlign w:val="superscript"/>
          <w:lang w:val="pt-BR"/>
        </w:rPr>
        <w:t>3</w:t>
      </w:r>
      <w:r>
        <w:rPr>
          <w:rFonts w:eastAsia="Arial" w:cs="Arial" w:ascii="Arial" w:hAnsi="Arial"/>
          <w:sz w:val="22"/>
          <w:szCs w:val="22"/>
          <w:lang w:val="pt-BR"/>
        </w:rPr>
        <w:t>. Os mini-silos foram selados com saco plástico e em seu topo foi acondicionado 500 g de areia para evitar a entrada de ar no recipiente, permanecendo em ambiente protegido do calor e luz solar durante 90 dias até a abertura. Na abertura dos mini-silos, as silagens com presença visível de fungos na parte superior e inferior do recipiente, foram descartadas. Assim, uma amostra de cada mini-silo (~500 g) foi coletada para a avaliação bromatológica do material ensilado. Após a secagem em estufa de circulação de ar forçado a 55ºC por 72h e moagem das amostras em moinho tipo Willey com peneira de 1 mm,  foi avaliado o teor de matéria seca (MS), matéria mineral (MM) e proteína bruta (PB) de acordo com AOAC (2000), fibra em detergente neutro (FDN) e ácido (FDA), segundo Van Soest et al. (1991). Os nutrientes digestíveis totais (NDT) foram estimados de acordo com a equação NDT = 74,49-0,5635*FDA (r² = 0,84; P&lt;0,05), proposta por Cappelle et al. (2001) para silagens de milho sem aditivos. O delineamento experimental utilizado foi o inteiramente casualizado, com três tratamentos e 5 repetições cada. As médias das variáveis foram submetidas à análise de variância (ANOVA), seguido de comparações através do teste Tukey em 5% de probabilidade, usando o software estatístico SAS (versão 9.1).</w:t>
      </w:r>
    </w:p>
    <w:p>
      <w:pPr>
        <w:pStyle w:val="Normal"/>
        <w:shd w:fill="FFFFFF" w:val="clear"/>
        <w:jc w:val="both"/>
        <w:rPr>
          <w:rFonts w:ascii="Cambria" w:hAnsi="Cambria" w:eastAsia="Cambria" w:cs="Cambria"/>
          <w:color w:val="00000A"/>
          <w:sz w:val="22"/>
          <w:szCs w:val="22"/>
          <w:lang w:val="pt-BR"/>
        </w:rPr>
      </w:pPr>
      <w:r>
        <w:rPr>
          <w:rFonts w:eastAsia="Cambria" w:cs="Cambria" w:ascii="Cambria" w:hAnsi="Cambria"/>
          <w:color w:val="00000A"/>
          <w:sz w:val="22"/>
          <w:szCs w:val="22"/>
          <w:lang w:val="pt-BR"/>
        </w:rPr>
      </w:r>
    </w:p>
    <w:p>
      <w:pPr>
        <w:pStyle w:val="Normal"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b/>
          <w:color w:val="000000"/>
          <w:sz w:val="22"/>
          <w:szCs w:val="22"/>
          <w:lang w:val="pt-BR"/>
        </w:rPr>
        <w:t>Resultados e discussões:</w:t>
      </w:r>
      <w:r>
        <w:rPr>
          <w:rFonts w:eastAsia="Arial" w:cs="Arial" w:ascii="Arial" w:hAnsi="Arial"/>
          <w:sz w:val="22"/>
          <w:szCs w:val="22"/>
          <w:lang w:val="pt-BR"/>
        </w:rPr>
        <w:t xml:space="preserve"> Houve influência na composição bromatológica da silagem nos tratamentos com adição do soro de leite (SL) e água + soro de leite (AG+SL), referente aos teores de MS, MM e PB (P&lt;0,05). Os teores de FDN, FDA e NDT não foram influenciados (P&gt;0,05) pela fonte de hidratação utilizada na confecção da silagem de grão úmido, conforme a Tabela 1.</w:t>
      </w:r>
    </w:p>
    <w:p>
      <w:pPr>
        <w:pStyle w:val="Normal"/>
        <w:shd w:fill="FFFFFF" w:val="clear"/>
        <w:spacing w:lineRule="auto" w:line="276" w:before="240" w:after="0"/>
        <w:jc w:val="both"/>
        <w:rPr>
          <w:rFonts w:ascii="Arial" w:hAnsi="Arial" w:eastAsia="Arial" w:cs="Arial"/>
          <w:b/>
          <w:b/>
          <w:sz w:val="20"/>
          <w:szCs w:val="20"/>
          <w:lang w:val="pt-BR"/>
        </w:rPr>
      </w:pPr>
      <w:r>
        <w:rPr>
          <w:rFonts w:eastAsia="Arial" w:cs="Arial" w:ascii="Arial" w:hAnsi="Arial"/>
          <w:b/>
          <w:sz w:val="20"/>
          <w:szCs w:val="20"/>
          <w:lang w:val="pt-BR"/>
        </w:rPr>
        <w:t>Tabela 1. Composição bromatológica de silagens de grãos de milho reidratados com água (AG) e/ou soro de leite (SL)</w:t>
      </w:r>
    </w:p>
    <w:tbl>
      <w:tblPr>
        <w:tblW w:w="9086" w:type="dxa"/>
        <w:jc w:val="center"/>
        <w:tblInd w:w="0" w:type="dxa"/>
        <w:tblLayout w:type="fixed"/>
        <w:tblCellMar>
          <w:top w:w="0" w:type="dxa"/>
          <w:left w:w="80" w:type="dxa"/>
          <w:bottom w:w="0" w:type="dxa"/>
          <w:right w:w="80" w:type="dxa"/>
        </w:tblCellMar>
      </w:tblPr>
      <w:tblGrid>
        <w:gridCol w:w="1323"/>
        <w:gridCol w:w="1713"/>
        <w:gridCol w:w="1713"/>
        <w:gridCol w:w="1948"/>
        <w:gridCol w:w="1022"/>
        <w:gridCol w:w="1367"/>
      </w:tblGrid>
      <w:tr>
        <w:trPr>
          <w:trHeight w:val="397" w:hRule="atLeast"/>
        </w:trPr>
        <w:tc>
          <w:tcPr>
            <w:tcW w:w="132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b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Itens*</w:t>
            </w:r>
          </w:p>
        </w:tc>
        <w:tc>
          <w:tcPr>
            <w:tcW w:w="5374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b/>
                <w:b/>
                <w:sz w:val="20"/>
                <w:szCs w:val="20"/>
                <w:vertAlign w:val="superscript"/>
                <w:lang w:val="pt-BR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  <w:lang w:val="pt-BR"/>
              </w:rPr>
              <w:t>Fontes de reidratação das silagens</w:t>
            </w:r>
          </w:p>
        </w:tc>
        <w:tc>
          <w:tcPr>
            <w:tcW w:w="102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b/>
                <w:b/>
                <w:sz w:val="20"/>
                <w:szCs w:val="20"/>
                <w:vertAlign w:val="superscript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EPM</w:t>
            </w:r>
            <w:r>
              <w:rPr>
                <w:rFonts w:eastAsia="Arial" w:cs="Arial" w:ascii="Arial" w:hAnsi="Arial"/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36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i/>
                <w:sz w:val="20"/>
                <w:szCs w:val="20"/>
              </w:rPr>
              <w:t>P-valor</w:t>
            </w:r>
          </w:p>
        </w:tc>
      </w:tr>
      <w:tr>
        <w:trPr>
          <w:trHeight w:val="184" w:hRule="atLeast"/>
        </w:trPr>
        <w:tc>
          <w:tcPr>
            <w:tcW w:w="1323" w:type="dxa"/>
            <w:vMerge w:val="continue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Arial" w:hAnsi="Arial" w:eastAsia="Arial" w:cs="Arial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i/>
                <w:sz w:val="20"/>
                <w:szCs w:val="20"/>
              </w:rPr>
            </w:r>
          </w:p>
        </w:tc>
        <w:tc>
          <w:tcPr>
            <w:tcW w:w="1713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b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 xml:space="preserve">Água </w:t>
            </w:r>
          </w:p>
        </w:tc>
        <w:tc>
          <w:tcPr>
            <w:tcW w:w="1713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b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 xml:space="preserve">Soro de Leite </w:t>
            </w:r>
          </w:p>
        </w:tc>
        <w:tc>
          <w:tcPr>
            <w:tcW w:w="1948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b/>
                <w:b/>
                <w:sz w:val="20"/>
                <w:szCs w:val="20"/>
                <w:lang w:val="pt-BR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  <w:lang w:val="pt-BR"/>
              </w:rPr>
              <w:t xml:space="preserve">Água e Soro de Leite </w:t>
            </w:r>
          </w:p>
        </w:tc>
        <w:tc>
          <w:tcPr>
            <w:tcW w:w="1022" w:type="dxa"/>
            <w:vMerge w:val="continue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Arial" w:hAnsi="Arial" w:eastAsia="Arial" w:cs="Arial"/>
                <w:b/>
                <w:b/>
                <w:sz w:val="20"/>
                <w:szCs w:val="20"/>
                <w:lang w:val="pt-BR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  <w:lang w:val="pt-BR"/>
              </w:rPr>
            </w:r>
          </w:p>
        </w:tc>
        <w:tc>
          <w:tcPr>
            <w:tcW w:w="1367" w:type="dxa"/>
            <w:vMerge w:val="continue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Arial" w:hAnsi="Arial" w:eastAsia="Arial" w:cs="Arial"/>
                <w:b/>
                <w:b/>
                <w:sz w:val="20"/>
                <w:szCs w:val="20"/>
                <w:lang w:val="pt-BR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  <w:lang w:val="pt-BR"/>
              </w:rPr>
            </w:r>
          </w:p>
        </w:tc>
      </w:tr>
      <w:tr>
        <w:trPr>
          <w:trHeight w:val="213" w:hRule="atLeast"/>
        </w:trPr>
        <w:tc>
          <w:tcPr>
            <w:tcW w:w="1323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MS, %</w:t>
            </w:r>
          </w:p>
        </w:tc>
        <w:tc>
          <w:tcPr>
            <w:tcW w:w="1713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  <w:vertAlign w:val="superscript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68,91</w:t>
            </w:r>
            <w:r>
              <w:rPr>
                <w:rFonts w:eastAsia="Arial" w:cs="Arial" w:ascii="Arial" w:hAnsi="Arial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713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  <w:vertAlign w:val="superscript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68,82</w:t>
            </w:r>
            <w:r>
              <w:rPr>
                <w:rFonts w:eastAsia="Arial" w:cs="Arial" w:ascii="Arial" w:hAnsi="Arial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948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  <w:vertAlign w:val="superscript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67,36</w:t>
            </w:r>
            <w:r>
              <w:rPr>
                <w:rFonts w:eastAsia="Arial" w:cs="Arial" w:ascii="Arial" w:hAnsi="Arial"/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022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0,164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&lt;0,0001</w:t>
            </w:r>
          </w:p>
        </w:tc>
      </w:tr>
      <w:tr>
        <w:trPr>
          <w:trHeight w:val="231" w:hRule="atLeast"/>
        </w:trPr>
        <w:tc>
          <w:tcPr>
            <w:tcW w:w="1323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MM, %</w:t>
            </w:r>
          </w:p>
        </w:tc>
        <w:tc>
          <w:tcPr>
            <w:tcW w:w="1713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  <w:vertAlign w:val="superscript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1,15</w:t>
            </w:r>
            <w:r>
              <w:rPr>
                <w:rFonts w:eastAsia="Arial" w:cs="Arial" w:ascii="Arial" w:hAnsi="Arial"/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713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  <w:vertAlign w:val="superscript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1,34</w:t>
            </w:r>
            <w:r>
              <w:rPr>
                <w:rFonts w:eastAsia="Arial" w:cs="Arial" w:ascii="Arial" w:hAnsi="Arial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948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  <w:vertAlign w:val="superscript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1,28</w:t>
            </w:r>
            <w:r>
              <w:rPr>
                <w:rFonts w:eastAsia="Arial" w:cs="Arial" w:ascii="Arial" w:hAnsi="Arial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022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0,028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0,0010</w:t>
            </w:r>
          </w:p>
        </w:tc>
      </w:tr>
      <w:tr>
        <w:trPr>
          <w:trHeight w:val="231" w:hRule="atLeast"/>
        </w:trPr>
        <w:tc>
          <w:tcPr>
            <w:tcW w:w="1323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PB, %</w:t>
            </w:r>
          </w:p>
        </w:tc>
        <w:tc>
          <w:tcPr>
            <w:tcW w:w="1713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  <w:vertAlign w:val="superscript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8,87</w:t>
            </w:r>
            <w:r>
              <w:rPr>
                <w:rFonts w:eastAsia="Arial" w:cs="Arial" w:ascii="Arial" w:hAnsi="Arial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713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  <w:vertAlign w:val="superscript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7,73</w:t>
            </w:r>
            <w:r>
              <w:rPr>
                <w:rFonts w:eastAsia="Arial" w:cs="Arial" w:ascii="Arial" w:hAnsi="Arial"/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948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  <w:vertAlign w:val="superscript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7,16</w:t>
            </w:r>
            <w:r>
              <w:rPr>
                <w:rFonts w:eastAsia="Arial" w:cs="Arial" w:ascii="Arial" w:hAnsi="Arial"/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022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0,188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0,0001</w:t>
            </w:r>
          </w:p>
        </w:tc>
      </w:tr>
      <w:tr>
        <w:trPr>
          <w:trHeight w:val="231" w:hRule="atLeast"/>
        </w:trPr>
        <w:tc>
          <w:tcPr>
            <w:tcW w:w="1323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FDN, %</w:t>
            </w:r>
          </w:p>
        </w:tc>
        <w:tc>
          <w:tcPr>
            <w:tcW w:w="1713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6,86</w:t>
            </w:r>
          </w:p>
        </w:tc>
        <w:tc>
          <w:tcPr>
            <w:tcW w:w="1713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5,94</w:t>
            </w:r>
          </w:p>
        </w:tc>
        <w:tc>
          <w:tcPr>
            <w:tcW w:w="1948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6,89</w:t>
            </w:r>
          </w:p>
        </w:tc>
        <w:tc>
          <w:tcPr>
            <w:tcW w:w="1022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0,351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0,1331</w:t>
            </w:r>
          </w:p>
        </w:tc>
      </w:tr>
      <w:tr>
        <w:trPr>
          <w:trHeight w:val="231" w:hRule="atLeast"/>
        </w:trPr>
        <w:tc>
          <w:tcPr>
            <w:tcW w:w="1323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FDA, %</w:t>
            </w:r>
          </w:p>
        </w:tc>
        <w:tc>
          <w:tcPr>
            <w:tcW w:w="1713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2,38</w:t>
            </w:r>
          </w:p>
        </w:tc>
        <w:tc>
          <w:tcPr>
            <w:tcW w:w="1713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2,06</w:t>
            </w:r>
          </w:p>
        </w:tc>
        <w:tc>
          <w:tcPr>
            <w:tcW w:w="1948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2,53</w:t>
            </w:r>
          </w:p>
        </w:tc>
        <w:tc>
          <w:tcPr>
            <w:tcW w:w="1022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0,221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0,3421</w:t>
            </w:r>
          </w:p>
        </w:tc>
      </w:tr>
      <w:tr>
        <w:trPr>
          <w:trHeight w:val="302" w:hRule="atLeast"/>
        </w:trPr>
        <w:tc>
          <w:tcPr>
            <w:tcW w:w="1323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NDT, %</w:t>
            </w:r>
          </w:p>
        </w:tc>
        <w:tc>
          <w:tcPr>
            <w:tcW w:w="1713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73,15</w:t>
            </w:r>
          </w:p>
        </w:tc>
        <w:tc>
          <w:tcPr>
            <w:tcW w:w="1713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73,33</w:t>
            </w:r>
          </w:p>
        </w:tc>
        <w:tc>
          <w:tcPr>
            <w:tcW w:w="1948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73,06</w:t>
            </w:r>
          </w:p>
        </w:tc>
        <w:tc>
          <w:tcPr>
            <w:tcW w:w="1022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0,125</w:t>
            </w:r>
          </w:p>
        </w:tc>
        <w:tc>
          <w:tcPr>
            <w:tcW w:w="1367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shd w:fill="FFFFFF" w:val="clear"/>
              <w:spacing w:lineRule="auto" w:line="276" w:before="240" w:after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0,3414</w:t>
            </w:r>
          </w:p>
        </w:tc>
      </w:tr>
    </w:tbl>
    <w:p>
      <w:pPr>
        <w:pStyle w:val="Normal"/>
        <w:jc w:val="both"/>
        <w:rPr>
          <w:rFonts w:ascii="Arial" w:hAnsi="Arial" w:eastAsia="Arial" w:cs="Arial"/>
          <w:sz w:val="18"/>
          <w:szCs w:val="18"/>
          <w:lang w:val="pt-BR"/>
        </w:rPr>
      </w:pPr>
      <w:r>
        <w:rPr>
          <w:rFonts w:eastAsia="Arial" w:cs="Arial" w:ascii="Arial" w:hAnsi="Arial"/>
          <w:sz w:val="18"/>
          <w:szCs w:val="18"/>
          <w:lang w:val="pt-BR"/>
        </w:rPr>
        <w:t>*MS = matéria seca; MM = matéria mineral; PB = proteína bruta; FDN = fibra em detergente neutro; FDA = fibra em detergente ácido; NDT = nutrientes digestíveis totais.</w:t>
      </w:r>
    </w:p>
    <w:p>
      <w:pPr>
        <w:pStyle w:val="Normal"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  <w:lang w:val="pt-BR"/>
        </w:rPr>
      </w:r>
    </w:p>
    <w:p>
      <w:pPr>
        <w:pStyle w:val="Normal"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  <w:lang w:val="pt-BR"/>
        </w:rPr>
        <w:t>Os teores de MS foram semelhantes quando utilizado AG e SL, porém superior ao teor obtido em AG+SL, provavelmente causado por um fator aditivo na inclusão de ambos os diluentes. Quanto ao teor de MM, foram encontrados valores semelhantes e superiores nos tratamentos em que se utilizou soro de leite (P&lt;0,05). O soro de leite possui composição química rica em água e nutrientes, tendo cerca de 7% de MM (CQBAL 4.0), o que pode ter influenciado os maiores valores de MM nas silagens com sua inclusão. No que se refere a PB, quando utilizado o soro de leite, houve uma redução nos teores proteicos das silagens, podendo ser devido à ocorrência de efeito de diluição entre os nutrientes, visto o aumento da MM. Os teores de FDN e FDA foram constantes, bem como os valores de NDT (P&gt;0,05), entretanto, outros trabalhos encontraram diferentes valores que, de acordo com o nível de inclusão de soro de leite, propiciaram maior fermentação homolática, redução os valores de fibra e, consequentemente, aumento da digestibilidade da silagem, como visto por Andrade (2013) e Rezende et al. (2014).</w:t>
      </w:r>
    </w:p>
    <w:p>
      <w:pPr>
        <w:pStyle w:val="Normal"/>
        <w:jc w:val="both"/>
        <w:rPr>
          <w:rFonts w:ascii="Cambria" w:hAnsi="Cambria" w:eastAsia="Cambria" w:cs="Cambria"/>
          <w:color w:val="00000A"/>
          <w:lang w:val="pt-BR"/>
        </w:rPr>
      </w:pPr>
      <w:r>
        <w:rPr>
          <w:rFonts w:eastAsia="Arial" w:cs="Arial" w:ascii="Arial" w:hAnsi="Arial"/>
          <w:b/>
          <w:color w:val="000000"/>
          <w:sz w:val="22"/>
          <w:szCs w:val="22"/>
          <w:lang w:val="pt-BR"/>
        </w:rPr>
        <w:t xml:space="preserve">      </w:t>
      </w:r>
      <w:r>
        <w:rPr>
          <w:rFonts w:eastAsia="Arial" w:cs="Arial" w:ascii="Arial" w:hAnsi="Arial"/>
          <w:color w:val="000000"/>
          <w:sz w:val="22"/>
          <w:szCs w:val="22"/>
          <w:lang w:val="pt-BR"/>
        </w:rPr>
        <w:t xml:space="preserve">                   </w:t>
      </w:r>
    </w:p>
    <w:p>
      <w:pPr>
        <w:pStyle w:val="Normal"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b/>
          <w:color w:val="000000"/>
          <w:sz w:val="22"/>
          <w:szCs w:val="22"/>
          <w:lang w:val="pt-BR"/>
        </w:rPr>
        <w:t>Conclusão</w:t>
      </w:r>
      <w:r>
        <w:rPr>
          <w:rFonts w:eastAsia="Arial" w:cs="Arial" w:ascii="Arial" w:hAnsi="Arial"/>
          <w:color w:val="000000"/>
          <w:sz w:val="22"/>
          <w:szCs w:val="22"/>
          <w:lang w:val="pt-BR"/>
        </w:rPr>
        <w:t xml:space="preserve">: </w:t>
      </w:r>
      <w:r>
        <w:rPr>
          <w:rFonts w:eastAsia="Arial" w:cs="Arial" w:ascii="Arial" w:hAnsi="Arial"/>
          <w:sz w:val="22"/>
          <w:szCs w:val="22"/>
          <w:lang w:val="pt-BR"/>
        </w:rPr>
        <w:t xml:space="preserve">O uso de silagem de grão de milho reidratado com soro de leite pode ser uma alternativa de alimento para os animais, entretanto, sua inclusão deve ser ajustada na dieta devido a seu fator de diluição. </w:t>
      </w:r>
    </w:p>
    <w:p>
      <w:pPr>
        <w:pStyle w:val="Normal"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  <w:lang w:val="pt-BR"/>
        </w:rPr>
      </w:r>
    </w:p>
    <w:p>
      <w:pPr>
        <w:pStyle w:val="Normal"/>
        <w:jc w:val="both"/>
        <w:rPr>
          <w:rFonts w:ascii="Arial" w:hAnsi="Arial" w:eastAsia="Arial" w:cs="Arial"/>
          <w:b/>
          <w:b/>
          <w:color w:val="000000"/>
          <w:sz w:val="22"/>
          <w:szCs w:val="22"/>
          <w:lang w:val="pt-BR"/>
        </w:rPr>
      </w:pPr>
      <w:r>
        <w:rPr>
          <w:rFonts w:eastAsia="Arial" w:cs="Arial" w:ascii="Arial" w:hAnsi="Arial"/>
          <w:b/>
          <w:color w:val="000000"/>
          <w:sz w:val="22"/>
          <w:szCs w:val="22"/>
          <w:lang w:val="pt-BR"/>
        </w:rPr>
      </w:r>
    </w:p>
    <w:p>
      <w:pPr>
        <w:pStyle w:val="Normal"/>
        <w:jc w:val="both"/>
        <w:rPr>
          <w:rFonts w:ascii="Arial" w:hAnsi="Arial" w:eastAsia="Arial" w:cs="Arial"/>
          <w:b/>
          <w:b/>
          <w:color w:val="000000"/>
          <w:sz w:val="22"/>
          <w:szCs w:val="22"/>
          <w:lang w:val="pt-BR"/>
        </w:rPr>
      </w:pPr>
      <w:r>
        <w:rPr>
          <w:rFonts w:eastAsia="Arial" w:cs="Arial" w:ascii="Arial" w:hAnsi="Arial"/>
          <w:b/>
          <w:color w:val="000000"/>
          <w:sz w:val="22"/>
          <w:szCs w:val="22"/>
          <w:lang w:val="pt-BR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  <w:lang w:val="pt-BR"/>
        </w:rPr>
      </w:pPr>
      <w:r>
        <w:rPr>
          <w:rFonts w:eastAsia="Arial" w:cs="Arial" w:ascii="Arial" w:hAnsi="Arial"/>
          <w:b/>
          <w:color w:val="000000"/>
          <w:sz w:val="22"/>
          <w:szCs w:val="22"/>
          <w:lang w:val="pt-BR"/>
        </w:rPr>
        <w:t xml:space="preserve">Referências: </w:t>
      </w:r>
    </w:p>
    <w:p>
      <w:pPr>
        <w:pStyle w:val="Normal"/>
        <w:widowControl w:val="false"/>
        <w:shd w:fill="FFFFFF" w:val="clear"/>
        <w:spacing w:before="120" w:after="0"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  <w:lang w:val="pt-BR"/>
        </w:rPr>
        <w:t xml:space="preserve">ANDRADE, Luiz Paulo de. </w:t>
      </w:r>
      <w:r>
        <w:rPr>
          <w:rFonts w:eastAsia="Arial" w:cs="Arial" w:ascii="Arial" w:hAnsi="Arial"/>
          <w:sz w:val="22"/>
          <w:szCs w:val="22"/>
        </w:rPr>
        <w:t xml:space="preserve">Silage maize grain rehydrated with whey and water. </w:t>
      </w:r>
      <w:r>
        <w:rPr>
          <w:rFonts w:eastAsia="Arial" w:cs="Arial" w:ascii="Arial" w:hAnsi="Arial"/>
          <w:sz w:val="22"/>
          <w:szCs w:val="22"/>
          <w:lang w:val="pt-BR"/>
        </w:rPr>
        <w:t>2013. 51 f. Dissertação (Mestrado em Zootecnia e Recursos Pesqueiros) - Universidade José do Rosario Vellano, Alfenas, 2013.</w:t>
      </w:r>
    </w:p>
    <w:p>
      <w:pPr>
        <w:pStyle w:val="Normal"/>
        <w:widowControl w:val="false"/>
        <w:shd w:fill="FFFFFF" w:val="clear"/>
        <w:spacing w:before="120" w:after="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AOAC. Official Methods of Analysis. Association of Official Analytical Chemists. Washington, D.C, 15th edition, 2000.</w:t>
      </w:r>
    </w:p>
    <w:p>
      <w:pPr>
        <w:pStyle w:val="Normal"/>
        <w:widowControl w:val="false"/>
        <w:shd w:fill="FFFFFF" w:val="clear"/>
        <w:spacing w:before="120" w:after="0"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</w:rPr>
        <w:t xml:space="preserve">ÁVILA, N. R. B. D. et al. </w:t>
      </w:r>
      <w:r>
        <w:rPr>
          <w:rFonts w:eastAsia="Arial" w:cs="Arial" w:ascii="Arial" w:hAnsi="Arial"/>
          <w:sz w:val="22"/>
          <w:szCs w:val="22"/>
          <w:lang w:val="pt-BR"/>
        </w:rPr>
        <w:t>Caracterização da silagem de grão de milho reidratado associado ao resíduo de tilápia. Ciência Animal Brasileira, v. 20, 2019.</w:t>
      </w:r>
    </w:p>
    <w:p>
      <w:pPr>
        <w:pStyle w:val="Normal"/>
        <w:widowControl w:val="false"/>
        <w:shd w:fill="FFFFFF" w:val="clear"/>
        <w:spacing w:before="120" w:after="0"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color w:val="222222"/>
          <w:sz w:val="22"/>
          <w:szCs w:val="22"/>
          <w:lang w:val="pt-BR"/>
        </w:rPr>
        <w:t>CAPPELLE, E. R.; FILHO, S.C.V.; SILVA, J.F.C.; CECON, P.R. Estimativas do valor energético a partir de características químicas e bromatológicas dos alimentos. Revista Brasileira de Zootecnia, v. 30, p. 1837-1856, 2001.</w:t>
      </w:r>
    </w:p>
    <w:p>
      <w:pPr>
        <w:pStyle w:val="Normal"/>
        <w:widowControl w:val="false"/>
        <w:shd w:fill="FFFFFF" w:val="clear"/>
        <w:spacing w:before="120" w:after="0"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  <w:lang w:val="pt-BR"/>
        </w:rPr>
        <w:t>CQBAL 4.0. Tabela Nutricional de Subprodutos: Soro de leite. Disponível em: &lt;https://www.cqbal.com.br/#!/relatorio/alimentos/derivados/listar/?form=W3siaWQiOjI5MiwidGl0dWxvIjoiTEVJVEUgU09STyAtIFNVQlBST0RVVE9TIn1d&gt; Acesso em 13 set. 2023.</w:t>
      </w:r>
    </w:p>
    <w:p>
      <w:pPr>
        <w:pStyle w:val="Normal"/>
        <w:widowControl w:val="false"/>
        <w:shd w:fill="FFFFFF" w:val="clear"/>
        <w:spacing w:before="120" w:after="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  <w:lang w:val="pt-BR"/>
        </w:rPr>
        <w:t xml:space="preserve">FAUSTINO, T. F.; SILVA, N.C.D.; LEITE, R.F.; SILVA, F.F.G.; FLORENTINO, L.A.; REZENDE, A.V. Utilização da silagem de grão de sorgo reidratado na alimentação animal. </w:t>
      </w:r>
      <w:r>
        <w:rPr>
          <w:rFonts w:eastAsia="Arial" w:cs="Arial" w:ascii="Arial" w:hAnsi="Arial"/>
          <w:sz w:val="22"/>
          <w:szCs w:val="22"/>
        </w:rPr>
        <w:t>Nucleus Animalium, v. 10, n. 2, p. 47-60, 2018.</w:t>
      </w:r>
    </w:p>
    <w:p>
      <w:pPr>
        <w:pStyle w:val="Normal"/>
        <w:widowControl w:val="false"/>
        <w:shd w:fill="FFFFFF" w:val="clear"/>
        <w:spacing w:before="120" w:after="0"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</w:rPr>
        <w:t xml:space="preserve">MOMBACH, M. A.; PEREIRA, D.H.; BOLSON, D.C.; PEDREIRA, B.C. Silage of rehydrated corn grain. </w:t>
      </w:r>
      <w:r>
        <w:rPr>
          <w:rFonts w:eastAsia="Arial" w:cs="Arial" w:ascii="Arial" w:hAnsi="Arial"/>
          <w:sz w:val="22"/>
          <w:szCs w:val="22"/>
          <w:lang w:val="pt-BR"/>
        </w:rPr>
        <w:t>Arquivo Brasileiro de Medicina Veterinária e Zootecnia , v. 71, n. 3, pág. 959-966, 2019.</w:t>
      </w:r>
    </w:p>
    <w:p>
      <w:pPr>
        <w:pStyle w:val="Normal"/>
        <w:widowControl w:val="false"/>
        <w:shd w:fill="FFFFFF" w:val="clear"/>
        <w:spacing w:before="120" w:after="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REZENDE, A. V.; RABELO, C. H. S.; VEIGA, R. M.; ANDRADE, L. P.; HÄRTER, C. J., RABELO, F. H.S; REIS, R. A. Rehydration of corn grain with acid whey improves the silage quality. Animal Feed Science and Technology, 197(1), 213-221. doi: https://doi.org/10.1016/j.anifeedsci.2014.07.009, 2014. </w:t>
      </w:r>
    </w:p>
    <w:p>
      <w:pPr>
        <w:pStyle w:val="Normal"/>
        <w:widowControl w:val="false"/>
        <w:shd w:fill="FFFFFF" w:val="clear"/>
        <w:spacing w:before="120" w:after="0"/>
        <w:jc w:val="both"/>
        <w:rPr/>
      </w:pPr>
      <w:r>
        <w:rPr>
          <w:rFonts w:eastAsia="Arial" w:cs="Arial" w:ascii="Arial" w:hAnsi="Arial"/>
          <w:sz w:val="22"/>
          <w:szCs w:val="22"/>
        </w:rPr>
        <w:t>VAN SOEST, P.J.; ROBERTSON, J.B.; LEWIS, B.A. Symposium: Carbohydrate methodology, metabolism, and nutritional implications in dairy cattle. Methods for dietary fiber, neutral detergent fiber, and non-starch polysaccharides in relation to animal nutrition. Journal of Dairy Science, v.74, n.10, p.3583-3597, 1991.</w:t>
      </w:r>
    </w:p>
    <w:sectPr>
      <w:headerReference w:type="even" r:id="rId4"/>
      <w:headerReference w:type="default" r:id="rId5"/>
      <w:footerReference w:type="even" r:id="rId6"/>
      <w:footerReference w:type="default" r:id="rId7"/>
      <w:type w:val="nextPage"/>
      <w:pgSz w:w="11906" w:h="16838"/>
      <w:pgMar w:left="1418" w:right="1418" w:gutter="0" w:header="0" w:top="1418" w:footer="0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Cambria">
    <w:charset w:val="00"/>
    <w:family w:val="roman"/>
    <w:pitch w:val="variable"/>
  </w:font>
  <w:font w:name="Helvetica Neue">
    <w:altName w:val="Arial"/>
    <w:charset w:val="00"/>
    <w:family w:val="swiss"/>
    <w:pitch w:val="default"/>
  </w:font>
  <w:font w:name="Georg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right" w:pos="9020" w:leader="none"/>
      </w:tabs>
      <w:rPr>
        <w:rFonts w:ascii="Helvetica Neue;Arial" w:hAnsi="Helvetica Neue;Arial" w:eastAsia="Helvetica Neue;Arial" w:cs="Helvetica Neue;Arial"/>
        <w:color w:val="000000"/>
      </w:rPr>
    </w:pPr>
    <w:r>
      <w:rPr>
        <w:rFonts w:eastAsia="Helvetica Neue;Arial" w:cs="Helvetica Neue;Arial" w:ascii="Helvetica Neue;Arial" w:hAnsi="Helvetica Neue;Arial"/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>
        <w:rFonts w:ascii="Cambria" w:hAnsi="Cambria" w:eastAsia="Cambria" w:cs="Cambria"/>
        <w:color w:val="00000A"/>
        <w:lang w:val="pt-BR" w:eastAsia="pt-BR"/>
      </w:rPr>
    </w:pPr>
    <w:r>
      <w:rPr>
        <w:rFonts w:eastAsia="Cambria" w:cs="Cambria" w:ascii="Cambria" w:hAnsi="Cambria"/>
        <w:color w:val="00000A"/>
        <w:lang w:val="pt-BR" w:eastAsia="pt-BR"/>
      </w:rPr>
      <w:drawing>
        <wp:anchor behindDoc="0" distT="152400" distB="152400" distL="152400" distR="152400" simplePos="0" locked="0" layoutInCell="0" allowOverlap="1" relativeHeight="3">
          <wp:simplePos x="0" y="0"/>
          <wp:positionH relativeFrom="page">
            <wp:posOffset>3175</wp:posOffset>
          </wp:positionH>
          <wp:positionV relativeFrom="page">
            <wp:posOffset>114300</wp:posOffset>
          </wp:positionV>
          <wp:extent cx="7556500" cy="1115060"/>
          <wp:effectExtent l="0" t="0" r="0" b="0"/>
          <wp:wrapTopAndBottom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31" r="-5" b="-31"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115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Ttulo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Ttulo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Ttulo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Ttulo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evenAndOddHeaders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n-US" w:bidi="ar-SA" w:eastAsia="zh-CN"/>
    </w:rPr>
  </w:style>
  <w:style w:type="paragraph" w:styleId="Ttulo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qFormat/>
    <w:pPr>
      <w:keepNext w:val="true"/>
      <w:keepLines/>
      <w:numPr>
        <w:ilvl w:val="1"/>
        <w:numId w:val="1"/>
      </w:numPr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200" w:after="40"/>
      <w:outlineLvl w:val="5"/>
    </w:pPr>
    <w:rPr>
      <w:b/>
      <w:sz w:val="20"/>
      <w:szCs w:val="20"/>
    </w:rPr>
  </w:style>
  <w:style w:type="character" w:styleId="Fontepargpadro">
    <w:name w:val="Fonte parág. padrão"/>
    <w:qFormat/>
    <w:rPr/>
  </w:style>
  <w:style w:type="character" w:styleId="LinkdaInternet">
    <w:name w:val="Link da Internet"/>
    <w:rPr>
      <w:u w:val="single"/>
    </w:rPr>
  </w:style>
  <w:style w:type="character" w:styleId="CabealhoChar">
    <w:name w:val="Cabeçalho Char"/>
    <w:qFormat/>
    <w:rPr/>
  </w:style>
  <w:style w:type="character" w:styleId="RodapChar">
    <w:name w:val="Rodapé Char"/>
    <w:qFormat/>
    <w:rPr/>
  </w:style>
  <w:style w:type="character" w:styleId="Refdecomentrio">
    <w:name w:val="Ref. de comentário"/>
    <w:qFormat/>
    <w:rPr>
      <w:sz w:val="16"/>
      <w:szCs w:val="16"/>
    </w:rPr>
  </w:style>
  <w:style w:type="character" w:styleId="TextodecomentrioChar">
    <w:name w:val="Texto de comentário Char"/>
    <w:qFormat/>
    <w:rPr>
      <w:sz w:val="20"/>
      <w:szCs w:val="20"/>
    </w:rPr>
  </w:style>
  <w:style w:type="character" w:styleId="AssuntodocomentrioChar">
    <w:name w:val="Assunto do comentário Char"/>
    <w:qFormat/>
    <w:rPr>
      <w:b/>
      <w:bCs/>
      <w:sz w:val="20"/>
      <w:szCs w:val="20"/>
    </w:rPr>
  </w:style>
  <w:style w:type="character" w:styleId="TextodebaloChar">
    <w:name w:val="Texto de balão Char"/>
    <w:qFormat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orpodotexto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Onormal">
    <w:name w:val="LO-normal"/>
    <w:qFormat/>
    <w:pPr>
      <w:widowControl/>
      <w:suppressAutoHyphens w:val="true"/>
      <w:bidi w:val="0"/>
    </w:pPr>
    <w:rPr>
      <w:rFonts w:ascii="Cambria" w:hAnsi="Cambria" w:eastAsia="Arial Unicode MS;Arial" w:cs="Arial Unicode MS;Arial"/>
      <w:color w:val="00000A"/>
      <w:sz w:val="24"/>
      <w:szCs w:val="24"/>
      <w:lang w:val="en-US" w:bidi="ar-SA" w:eastAsia="zh-CN"/>
    </w:rPr>
  </w:style>
  <w:style w:type="paragraph" w:styleId="CabealhoeRodap">
    <w:name w:val="Cabeçalho e Rodapé"/>
    <w:qFormat/>
    <w:pPr>
      <w:widowControl/>
      <w:tabs>
        <w:tab w:val="clear" w:pos="720"/>
        <w:tab w:val="right" w:pos="9020" w:leader="none"/>
      </w:tabs>
      <w:suppressAutoHyphens w:val="true"/>
      <w:bidi w:val="0"/>
    </w:pPr>
    <w:rPr>
      <w:rFonts w:ascii="Helvetica Neue;Arial" w:hAnsi="Helvetica Neue;Arial" w:eastAsia="Arial Unicode MS;Arial" w:cs="Arial Unicode MS;Arial"/>
      <w:color w:val="000000"/>
      <w:sz w:val="24"/>
      <w:szCs w:val="24"/>
      <w:lang w:val="en-US" w:bidi="ar-SA" w:eastAsia="zh-CN"/>
    </w:rPr>
  </w:style>
  <w:style w:type="paragraph" w:styleId="Subttulo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">
    <w:name w:val="Header"/>
    <w:basedOn w:val="Normal"/>
    <w:pPr/>
    <w:rPr/>
  </w:style>
  <w:style w:type="paragraph" w:styleId="Rodap">
    <w:name w:val="Footer"/>
    <w:basedOn w:val="Normal"/>
    <w:pPr/>
    <w:rPr/>
  </w:style>
  <w:style w:type="paragraph" w:styleId="Textodecomentrio">
    <w:name w:val="Texto de comentário"/>
    <w:basedOn w:val="Normal"/>
    <w:qFormat/>
    <w:pPr/>
    <w:rPr>
      <w:sz w:val="20"/>
      <w:szCs w:val="20"/>
    </w:rPr>
  </w:style>
  <w:style w:type="paragraph" w:styleId="Assuntodocomentrio">
    <w:name w:val="Assunto do comentário"/>
    <w:basedOn w:val="Textodecomentrio"/>
    <w:next w:val="Textodecomentrio"/>
    <w:qFormat/>
    <w:pPr/>
    <w:rPr>
      <w:b/>
      <w:bCs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Reviso">
    <w:name w:val="Revisão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n-US" w:bidi="ar-SA" w:eastAsia="zh-C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liberatto.stephanie@gmail.com" TargetMode="External"/><Relationship Id="rId3" Type="http://schemas.openxmlformats.org/officeDocument/2006/relationships/hyperlink" Target="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4</TotalTime>
  <Application>LibreOffice/7.3.2.2$Windows_X86_64 LibreOffice_project/49f2b1bff42cfccbd8f788c8dc32c1c309559be0</Application>
  <AppVersion>15.0000</AppVersion>
  <Pages>3</Pages>
  <Words>1377</Words>
  <Characters>7355</Characters>
  <CharactersWithSpaces>8700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2023-10-19T15:38:00Z</dcterms:created>
  <dc:creator>Cliente</dc:creator>
  <dc:description/>
  <cp:keywords/>
  <dc:language>pt-BR</dc:language>
  <cp:lastModifiedBy/>
  <dcterms:modified xsi:type="dcterms:W3CDTF">2023-10-20T14:41:41Z</dcterms:modified>
  <cp:revision>5</cp:revision>
  <dc:subject/>
  <dc:title/>
</cp:coreProperties>
</file>